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 w:right="0" w:firstLine="0" w:left="0"/>
        <w:jc w:val="center"/>
        <w:rPr/>
      </w:pPr>
      <w:r>
        <w:rPr>
          <w:rFonts w:ascii="Arial" w:hAnsi="Arial" w:eastAsia="Arial" w:cs="Arial"/>
          <w:color w:val="22272f"/>
        </w:rPr>
        <w:t xml:space="preserve">Постановление Правительства РФ от 18 октября 2014 г. N </w:t>
      </w:r>
      <w:r>
        <w:rPr>
          <w:rFonts w:ascii="Arial" w:hAnsi="Arial" w:eastAsia="Arial" w:cs="Arial"/>
          <w:b/>
          <w:bCs/>
          <w:color w:val="22272f"/>
          <w:highlight w:val="yellow"/>
        </w:rPr>
        <w:t xml:space="preserve">1075</w:t>
      </w:r>
      <w:r>
        <w:rPr>
          <w:rFonts w:ascii="Arial" w:hAnsi="Arial" w:eastAsia="Arial" w:cs="Arial"/>
          <w:color w:val="22272f"/>
        </w:rPr>
        <w:br/>
        <w:t xml:space="preserve">"Об утверждении Правил определения среднедушевого дохода для предоставления социальных услуг бесплатно"</w:t>
      </w:r>
    </w:p>
    <w:p>
      <w:pPr>
        <w:pStyle w:val="19"/>
        <w:pBdr>
          <w:top w:val="none" w:color="000000" w:sz="4" w:space="0"/>
          <w:left w:val="none" w:color="000000" w:sz="4" w:space="0"/>
          <w:bottom w:val="single" w:color="3272c0" w:sz="6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3272c0"/>
          <w:sz w:val="21"/>
        </w:rPr>
        <w:t xml:space="preserve">С изменениями и дополнениями от: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В соответствии с </w:t>
      </w:r>
      <w:hyperlink r:id="rId8" w:tooltip="https://ivo.garant.ru/#/document/70552648/entry/314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частью 4 статьи 31</w:t>
        </w:r>
      </w:hyperlink>
      <w:r>
        <w:rPr>
          <w:rFonts w:ascii="Arial" w:hAnsi="Arial" w:eastAsia="Arial" w:cs="Arial"/>
          <w:color w:val="22272f"/>
          <w:sz w:val="23"/>
        </w:rPr>
        <w:t xml:space="preserve"> Федерального закона "Об основах социального обслуживания граждан в Российской Федерации" Правительство Российской Федерации постановляет: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1. Утвердить прилагаемые </w:t>
      </w:r>
      <w:hyperlink r:id="rId9" w:tooltip="https://ivo.garant.ru/#/document/70771488/entry/35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Правила</w:t>
        </w:r>
      </w:hyperlink>
      <w:r>
        <w:rPr>
          <w:rFonts w:ascii="Arial" w:hAnsi="Arial" w:eastAsia="Arial" w:cs="Arial"/>
          <w:color w:val="22272f"/>
          <w:sz w:val="23"/>
        </w:rPr>
        <w:t xml:space="preserve"> определения среднедушевого дохода для предоставления социальных услуг бесплатно.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2. Министерству труда и социальной защиты Российской Федерации совместно с Министерством финансов Российской Федерации давать разъяснения по вопросам применения </w:t>
      </w:r>
      <w:hyperlink r:id="rId10" w:tooltip="https://ivo.garant.ru/#/document/70771488/entry/35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Правил</w:t>
        </w:r>
      </w:hyperlink>
      <w:r>
        <w:rPr>
          <w:rFonts w:ascii="Arial" w:hAnsi="Arial" w:eastAsia="Arial" w:cs="Arial"/>
          <w:color w:val="22272f"/>
          <w:sz w:val="23"/>
        </w:rPr>
        <w:t xml:space="preserve">, утвержденных настоящим постановлением.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3. Настоящее постановление вступает в силу с 1 января 2015 г.</w:t>
      </w:r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236"/>
        <w:gridCol w:w="3118"/>
      </w:tblGrid>
      <w:tr>
        <w:trPr/>
        <w:tc>
          <w:tcPr>
            <w:tcW w:w="6236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bottom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rPr/>
            </w:pPr>
            <w:r>
              <w:rPr>
                <w:rFonts w:ascii="Arial" w:hAnsi="Arial" w:eastAsia="Arial" w:cs="Arial"/>
                <w:color w:val="22272f"/>
                <w:sz w:val="23"/>
              </w:rPr>
              <w:t xml:space="preserve">Председатель Правительства</w:t>
              <w:br/>
              <w:t xml:space="preserve">Российской Федерации</w:t>
            </w:r>
          </w:p>
        </w:tc>
        <w:tc>
          <w:tcPr>
            <w:tcW w:w="311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bottom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right"/>
              <w:rPr/>
            </w:pPr>
            <w:r>
              <w:rPr>
                <w:rFonts w:ascii="Arial" w:hAnsi="Arial" w:eastAsia="Arial" w:cs="Arial"/>
                <w:color w:val="22272f"/>
                <w:sz w:val="23"/>
              </w:rPr>
              <w:t xml:space="preserve">Д. Медведев</w:t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 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Arial" w:hAnsi="Arial" w:eastAsia="Arial" w:cs="Arial"/>
          <w:color w:val="22272f"/>
        </w:rPr>
        <w:t xml:space="preserve">Правила</w:t>
        <w:br/>
        <w:t xml:space="preserve">определения среднедушевого дохода для предоставления социальных услуг бесплатно</w:t>
        <w:br/>
        <w:t xml:space="preserve">(утв.</w:t>
      </w:r>
      <w:r>
        <w:rPr>
          <w:rFonts w:ascii="Arial" w:hAnsi="Arial" w:eastAsia="Arial" w:cs="Arial"/>
          <w:color w:val="22272f"/>
          <w:sz w:val="32"/>
        </w:rPr>
        <w:t xml:space="preserve"> </w:t>
      </w:r>
      <w:hyperlink r:id="rId11" w:tooltip="https://ivo.garant.ru/#/document/70771488/entry/0" w:history="1">
        <w:r>
          <w:rPr>
            <w:rStyle w:val="174"/>
            <w:rFonts w:ascii="Arial" w:hAnsi="Arial" w:eastAsia="Arial" w:cs="Arial"/>
            <w:color w:val="3272c0"/>
            <w:sz w:val="32"/>
            <w:u w:val="none"/>
          </w:rPr>
          <w:t xml:space="preserve">постановлением</w:t>
        </w:r>
      </w:hyperlink>
      <w:r>
        <w:rPr>
          <w:rFonts w:ascii="Arial" w:hAnsi="Arial" w:eastAsia="Arial" w:cs="Arial"/>
          <w:color w:val="22272f"/>
          <w:sz w:val="32"/>
        </w:rPr>
        <w:t xml:space="preserve"> </w:t>
      </w:r>
      <w:r>
        <w:rPr>
          <w:rFonts w:ascii="Arial" w:hAnsi="Arial" w:eastAsia="Arial" w:cs="Arial"/>
          <w:color w:val="22272f"/>
        </w:rPr>
        <w:t xml:space="preserve">Правительства РФ от 18 октября 2014 г. N 1075)</w:t>
      </w:r>
    </w:p>
    <w:p>
      <w:pPr>
        <w:pStyle w:val="19"/>
        <w:pBdr>
          <w:top w:val="none" w:color="000000" w:sz="4" w:space="0"/>
          <w:left w:val="none" w:color="000000" w:sz="4" w:space="0"/>
          <w:bottom w:val="single" w:color="3272c0" w:sz="6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3272c0"/>
          <w:sz w:val="20"/>
        </w:rPr>
        <w:t xml:space="preserve">С изменениями и дополнениями от: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1. Настоящие Правила устанавливают порядок определения среднедушевого дохода для предоставления социальных услуг бесплатно в целях реализации </w:t>
      </w:r>
      <w:hyperlink r:id="rId12" w:tooltip="https://ivo.garant.ru/#/document/70552648/entry/314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Федерального закона</w:t>
        </w:r>
      </w:hyperlink>
      <w:r>
        <w:rPr>
          <w:rFonts w:ascii="Arial" w:hAnsi="Arial" w:eastAsia="Arial" w:cs="Arial"/>
          <w:color w:val="22272f"/>
          <w:sz w:val="23"/>
        </w:rPr>
        <w:t xml:space="preserve"> "Об основах социального обслуживания граждан в Российской Федерации" (далее - среднедушевой доход).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2. Расчет среднедушевого дохода в отношении получателя социальных услуг, за исключением лиц, указанных в </w:t>
      </w:r>
      <w:hyperlink r:id="rId13" w:tooltip="https://ivo.garant.ru/#/document/70552648/entry/311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частях 1</w:t>
        </w:r>
      </w:hyperlink>
      <w:r>
        <w:rPr>
          <w:rFonts w:ascii="Arial" w:hAnsi="Arial" w:eastAsia="Arial" w:cs="Arial"/>
          <w:color w:val="22272f"/>
          <w:sz w:val="23"/>
        </w:rPr>
        <w:t xml:space="preserve"> и </w:t>
      </w:r>
      <w:hyperlink r:id="rId14" w:tooltip="https://ivo.garant.ru/#/document/70552648/entry/313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3 статьи 31</w:t>
        </w:r>
      </w:hyperlink>
      <w:r>
        <w:rPr>
          <w:rFonts w:ascii="Arial" w:hAnsi="Arial" w:eastAsia="Arial" w:cs="Arial"/>
          <w:color w:val="22272f"/>
          <w:sz w:val="23"/>
        </w:rPr>
        <w:t xml:space="preserve"> Федерального закона "Об основах социального обслуживания граждан в Российской Федерации", производится на дату обращения и осуществляется на основании документов (сведений), предусмотренных порядком предоставления социальных услуг, утвержденным уполномоче</w:t>
      </w:r>
      <w:r>
        <w:rPr>
          <w:rFonts w:ascii="Arial" w:hAnsi="Arial" w:eastAsia="Arial" w:cs="Arial"/>
          <w:color w:val="22272f"/>
          <w:sz w:val="23"/>
        </w:rPr>
        <w:t xml:space="preserve">нным органом государственной власти, о составе семьи, наличии (отсутствии) доходов членов семьи или одиноко проживающего гражданина и принадлежащем им (ему) имуществе на праве собственности.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464c55"/>
        </w:rPr>
        <w:t xml:space="preserve">Правила дополнены пунктом 2.1 с 27 февраля 2020 г. -</w:t>
      </w:r>
      <w:r>
        <w:rPr>
          <w:rFonts w:ascii="Arial" w:hAnsi="Arial" w:eastAsia="Arial" w:cs="Arial"/>
          <w:color w:val="464c55"/>
          <w:sz w:val="20"/>
        </w:rPr>
        <w:t xml:space="preserve"> </w:t>
      </w:r>
      <w:hyperlink r:id="rId15" w:tooltip="https://ivo.garant.ru/#/document/73579060/entry/1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Постановление</w:t>
        </w:r>
      </w:hyperlink>
      <w:r>
        <w:rPr>
          <w:rFonts w:ascii="Arial" w:hAnsi="Arial" w:eastAsia="Arial" w:cs="Arial"/>
          <w:color w:val="464c55"/>
          <w:sz w:val="20"/>
        </w:rPr>
        <w:t xml:space="preserve"> </w:t>
      </w:r>
      <w:r>
        <w:rPr>
          <w:rFonts w:ascii="Arial" w:hAnsi="Arial" w:eastAsia="Arial" w:cs="Arial"/>
          <w:color w:val="464c55"/>
        </w:rPr>
        <w:t xml:space="preserve">Правительства России от 18 февраля 2020 г. N 174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2.1. Уполномоченный орган, предусмотренный </w:t>
      </w:r>
      <w:hyperlink r:id="rId16" w:tooltip="https://ivo.garant.ru/#/document/70771488/entry/5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пунктом 2</w:t>
        </w:r>
      </w:hyperlink>
      <w:r>
        <w:rPr>
          <w:rFonts w:ascii="Arial" w:hAnsi="Arial" w:eastAsia="Arial" w:cs="Arial"/>
          <w:color w:val="22272f"/>
          <w:sz w:val="23"/>
        </w:rPr>
        <w:t xml:space="preserve"> настоящих Правил, запрашивает у Министерства внутренних дел Российской Федерации подтверждение сведений о регистрации по месту жительства лиц, указанных заявителем в заявлении о предоставлении социальных услуг в соответствии с пунктом 2 настоящих Правил. </w:t>
      </w:r>
      <w:r>
        <w:rPr>
          <w:rFonts w:ascii="Arial" w:hAnsi="Arial" w:eastAsia="Arial" w:cs="Arial"/>
          <w:color w:val="22272f"/>
          <w:sz w:val="23"/>
        </w:rPr>
        <w:t xml:space="preserve">Подтверждение информации о родственных связях заявителя с гражданами, зарегистрированными совместно с ним, осуществляется путем декларирования заявителем указанных сведений и подтверждения их документами, удостоверяющими личность, а также свидетельствами о</w:t>
      </w:r>
      <w:r>
        <w:rPr>
          <w:rFonts w:ascii="Arial" w:hAnsi="Arial" w:eastAsia="Arial" w:cs="Arial"/>
          <w:color w:val="22272f"/>
          <w:sz w:val="23"/>
        </w:rPr>
        <w:t xml:space="preserve"> государственной регистрации актов гражданского состояния.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Межведомственный запрос направляется в течение 2 рабочих дней со дня подачи гражданином заявления о предоставлении социальных услуг в форме электронного документа с использованием единой системы межведомственного электронного взаимодействия и подключаемых </w:t>
      </w:r>
      <w:r>
        <w:rPr>
          <w:rFonts w:ascii="Arial" w:hAnsi="Arial" w:eastAsia="Arial" w:cs="Arial"/>
          <w:color w:val="22272f"/>
          <w:sz w:val="23"/>
        </w:rPr>
        <w:t xml:space="preserve">к ней региональных систем межведомственного электронного взаимодействия.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3. В целях настоящих Правил: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а) в составе семьи учитываются супруги, родители и несовершеннолетние дети, совместно проживающие с получателем социальных услуг;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б) под датой обращения понимается дата подачи заявления о предоставлении социальных услуг либо дата представления сведений об изменении состава семьи, доходов членов семьи или одиноко проживающего гражданина и принадлежащего им (ему) имущества на праве соб</w:t>
      </w:r>
      <w:r>
        <w:rPr>
          <w:rFonts w:ascii="Arial" w:hAnsi="Arial" w:eastAsia="Arial" w:cs="Arial"/>
          <w:color w:val="22272f"/>
          <w:sz w:val="23"/>
        </w:rPr>
        <w:t xml:space="preserve">ственности.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4. При расчете среднедушевого дохода в состав семьи не включаются: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а) лица, отбывающие наказание в виде лишения свободы, лица, 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б) лица, находящиеся на полном государственном обеспечении.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green"/>
        </w:rPr>
      </w:pPr>
      <w:r>
        <w:rPr>
          <w:rFonts w:ascii="Arial" w:hAnsi="Arial" w:eastAsia="Arial" w:cs="Arial"/>
          <w:color w:val="22272f"/>
          <w:sz w:val="23"/>
          <w:highlight w:val="green"/>
        </w:rPr>
        <w:t xml:space="preserve">5. </w:t>
      </w:r>
      <w:r>
        <w:rPr>
          <w:rFonts w:ascii="Arial" w:hAnsi="Arial" w:eastAsia="Arial" w:cs="Arial"/>
          <w:color w:val="22272f"/>
          <w:sz w:val="23"/>
          <w:highlight w:val="green"/>
        </w:rPr>
        <w:t xml:space="preserve">При расчете среднедушевого дохода учитываются следующие доходы, полученные в денежной форме:</w:t>
      </w:r>
      <w:r>
        <w:rPr>
          <w:highlight w:val="gree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а) дивиденды и проценты, полученные от российской организации, а также проценты, полученные от российских индивидуальных предпринимателей и (или) иностранной организации в связи с деятельностью ее обособленного подразделения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б) страховые выплаты при наступлении страхового случая, в том числе периодические страховые выплаты (ренты, аннуитеты) и (или) выплаты, связанные с участием страхователя в инвестиционном доходе страховщика, а также выкупные суммы, полученные от российской </w:t>
      </w:r>
      <w:r>
        <w:rPr>
          <w:rFonts w:ascii="Arial" w:hAnsi="Arial" w:eastAsia="Arial" w:cs="Arial"/>
          <w:color w:val="22272f"/>
          <w:sz w:val="23"/>
        </w:rPr>
        <w:t xml:space="preserve">организации и (или) от иностранной организации в связи с деятельностью ее обособленного подразделения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в) доходы, полученные от использования в Российской Федерации авторских или смежных прав;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г) доходы, полученные от сдачи в аренду или иного использования имущества, находящегося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д) доходы от реализации: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недвижимого имущества, находящегося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в Российской Федерации акций или иных ценных бумаг, а также долей участия в уставном капитале организаций;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в Российской Федерации акций, иных ценных бумаг, долей участия в уставном капитале организаций, полученные от участия в инвестиционном товариществе;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иного имущества, находящегося в Российской Федерации и принадлежащего гражданину;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hyperlink r:id="rId17" w:tooltip="https://ivo.garant.ru/#/document/71361632/entry/5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е)</w:t>
        </w:r>
      </w:hyperlink>
      <w:r>
        <w:rPr>
          <w:rFonts w:ascii="Arial" w:hAnsi="Arial" w:eastAsia="Arial" w:cs="Arial"/>
          <w:color w:val="22272f"/>
          <w:sz w:val="23"/>
        </w:rPr>
        <w:t xml:space="preserve"> 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вознаграждение за выполнение трудовых или иных обязанностей</w:t>
      </w:r>
      <w:r>
        <w:rPr>
          <w:rFonts w:ascii="Arial" w:hAnsi="Arial" w:eastAsia="Arial" w:cs="Arial"/>
          <w:color w:val="22272f"/>
          <w:sz w:val="23"/>
        </w:rPr>
        <w:t xml:space="preserve">, выполненную работу, оказанную услугу, совершение действия в Российской Федерации. При этом вознаграждение директоров и иные аналогичные выплаты, получаемые членами органа управления организации </w:t>
      </w:r>
      <w:r>
        <w:rPr>
          <w:rFonts w:ascii="Arial" w:hAnsi="Arial" w:eastAsia="Arial" w:cs="Arial"/>
          <w:color w:val="22272f"/>
          <w:sz w:val="23"/>
        </w:rPr>
        <w:t xml:space="preserve">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</w:t>
      </w:r>
      <w:r>
        <w:rPr>
          <w:rFonts w:ascii="Arial" w:hAnsi="Arial" w:eastAsia="Arial" w:cs="Arial"/>
          <w:color w:val="22272f"/>
          <w:sz w:val="23"/>
        </w:rPr>
        <w:t xml:space="preserve">та, где фактически исполнялись возложенные на этих лиц управленческие обязанности или откуда производились выплаты указанных вознаграждений;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hyperlink r:id="rId18" w:tooltip="https://ivo.garant.ru/#/multilink/70771488/paragraph/29/number/0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ж)</w:t>
        </w:r>
      </w:hyperlink>
      <w:r>
        <w:rPr>
          <w:rFonts w:ascii="Arial" w:hAnsi="Arial" w:eastAsia="Arial" w:cs="Arial"/>
          <w:color w:val="22272f"/>
          <w:sz w:val="23"/>
        </w:rPr>
        <w:t xml:space="preserve"> 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пенсии</w:t>
      </w:r>
      <w:r>
        <w:rPr>
          <w:rFonts w:ascii="Arial" w:hAnsi="Arial" w:eastAsia="Arial" w:cs="Arial"/>
          <w:color w:val="22272f"/>
          <w:sz w:val="23"/>
        </w:rPr>
        <w:t xml:space="preserve">, пособия, стипендии и иные аналогичные выплаты, полученные гражданином в соответствии с законодательством Российской Федерации или полученные от иностранной организации в связи с деятельностью ее обособленного подразделения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з) 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</w:t>
      </w:r>
      <w:r>
        <w:rPr>
          <w:rFonts w:ascii="Arial" w:hAnsi="Arial" w:eastAsia="Arial" w:cs="Arial"/>
          <w:color w:val="22272f"/>
          <w:sz w:val="23"/>
        </w:rPr>
        <w:t xml:space="preserve"> и иные санкции за простой (задержку) таких транспортных средств в пунктах погрузки (выгрузки)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и) доходы, полученные от использования трубопроводов, линий электропередачи, линий оптико-волоконной и (или) беспроводной связи, иных средств связи, включая компьютерные сети, на территории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к) выплаты правопреемникам умерших застрахованных лиц в случаях, предусмотренных </w:t>
      </w:r>
      <w:hyperlink r:id="rId19" w:tooltip="https://ivo.garant.ru/#/document/12125143/entry/2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законодательством</w:t>
        </w:r>
      </w:hyperlink>
      <w:r>
        <w:rPr>
          <w:rFonts w:ascii="Arial" w:hAnsi="Arial" w:eastAsia="Arial" w:cs="Arial"/>
          <w:color w:val="22272f"/>
          <w:sz w:val="23"/>
        </w:rPr>
        <w:t xml:space="preserve"> Российской Федерации об обязательном пенсионном страховании;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л) иные доходы, получаемые гражданином в результате осуществления им деятельности в Российской Федерации;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м) 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464c55"/>
        </w:rPr>
        <w:t xml:space="preserve">Подпункт "н" изменено с 3 июня 2020 г. -</w:t>
      </w:r>
      <w:r>
        <w:rPr>
          <w:rFonts w:ascii="Arial" w:hAnsi="Arial" w:eastAsia="Arial" w:cs="Arial"/>
          <w:color w:val="464c55"/>
          <w:sz w:val="20"/>
        </w:rPr>
        <w:t xml:space="preserve"> </w:t>
      </w:r>
      <w:hyperlink r:id="rId20" w:tooltip="https://ivo.garant.ru/#/document/74172301/entry/1049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Постановление</w:t>
        </w:r>
      </w:hyperlink>
      <w:r>
        <w:rPr>
          <w:rFonts w:ascii="Arial" w:hAnsi="Arial" w:eastAsia="Arial" w:cs="Arial"/>
          <w:color w:val="464c55"/>
          <w:sz w:val="20"/>
        </w:rPr>
        <w:t xml:space="preserve"> </w:t>
      </w:r>
      <w:r>
        <w:rPr>
          <w:rFonts w:ascii="Arial" w:hAnsi="Arial" w:eastAsia="Arial" w:cs="Arial"/>
          <w:color w:val="464c55"/>
        </w:rPr>
        <w:t xml:space="preserve">Правительства России от 21 мая 2020 г. N 723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464c55"/>
        </w:rPr>
        <w:t xml:space="preserve">Изменения</w:t>
      </w:r>
      <w:r>
        <w:rPr>
          <w:rFonts w:ascii="Arial" w:hAnsi="Arial" w:eastAsia="Arial" w:cs="Arial"/>
          <w:color w:val="464c55"/>
          <w:sz w:val="20"/>
        </w:rPr>
        <w:t xml:space="preserve"> </w:t>
      </w:r>
      <w:hyperlink r:id="rId21" w:tooltip="https://ivo.garant.ru/#/document/74172301/entry/2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распространяются</w:t>
        </w:r>
      </w:hyperlink>
      <w:r>
        <w:rPr>
          <w:rFonts w:ascii="Arial" w:hAnsi="Arial" w:eastAsia="Arial" w:cs="Arial"/>
          <w:color w:val="464c55"/>
          <w:sz w:val="20"/>
        </w:rPr>
        <w:t xml:space="preserve"> </w:t>
      </w:r>
      <w:r>
        <w:rPr>
          <w:rFonts w:ascii="Arial" w:hAnsi="Arial" w:eastAsia="Arial" w:cs="Arial"/>
          <w:color w:val="464c55"/>
        </w:rPr>
        <w:t xml:space="preserve">на правоотношения, возникшие с 1 января 2020 г.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hyperlink r:id="rId22" w:tooltip="https://ivo.garant.ru/#/document/77695851/entry/24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См. предыдущую редакцию</w:t>
        </w:r>
      </w:hyperlink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yellow"/>
        </w:rPr>
      </w:pPr>
      <w:r>
        <w:rPr>
          <w:rFonts w:ascii="Arial" w:hAnsi="Arial" w:eastAsia="Arial" w:cs="Arial"/>
          <w:color w:val="22272f"/>
          <w:sz w:val="23"/>
          <w:highlight w:val="yellow"/>
        </w:rPr>
        <w:t xml:space="preserve">н) 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д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енежное довольствие военнослужащих,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таможенных органов Российской Федерации и других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 органов правоохранительной службы,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  <w:r>
        <w:rPr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о) денежное вознаграждение по договору об осуществлении опеки или попечительства, а также денежные выплаты по договорам ренты, пожизненного содержания с иждивением.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5</w:t>
      </w:r>
      <w:r>
        <w:rPr>
          <w:rFonts w:ascii="Arial" w:hAnsi="Arial" w:eastAsia="Arial" w:cs="Arial"/>
          <w:color w:val="22272f"/>
          <w:sz w:val="16"/>
          <w:vertAlign w:val="superscript"/>
        </w:rPr>
        <w:t xml:space="preserve"> 1</w:t>
      </w:r>
      <w:r>
        <w:rPr>
          <w:rFonts w:ascii="Arial" w:hAnsi="Arial" w:eastAsia="Arial" w:cs="Arial"/>
          <w:color w:val="22272f"/>
          <w:sz w:val="23"/>
        </w:rPr>
        <w:t xml:space="preserve">. Не действует с 1 января 2021 г. - </w:t>
      </w:r>
      <w:hyperlink r:id="rId23" w:tooltip="https://ivo.garant.ru/#/document/73969859/entry/1003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Постановление</w:t>
        </w:r>
      </w:hyperlink>
      <w:r>
        <w:rPr>
          <w:rFonts w:ascii="Arial" w:hAnsi="Arial" w:eastAsia="Arial" w:cs="Arial"/>
          <w:color w:val="22272f"/>
          <w:sz w:val="23"/>
        </w:rPr>
        <w:t xml:space="preserve"> Правительства России от 29 апреля 2020 г. N 604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hyperlink r:id="rId24" w:tooltip="https://ivo.garant.ru/#/document/77706779/entry/1051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См. предыдущую редакцию</w:t>
        </w:r>
      </w:hyperlink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/>
      </w:pPr>
      <w:r>
        <w:rPr>
          <w:rFonts w:ascii="Arial" w:hAnsi="Arial" w:eastAsia="Arial" w:cs="Arial"/>
          <w:color w:val="464c55"/>
        </w:rPr>
        <w:t xml:space="preserve">Правила дополнены пунктом 5</w:t>
      </w:r>
      <w:r>
        <w:rPr>
          <w:rFonts w:ascii="Arial" w:hAnsi="Arial" w:eastAsia="Arial" w:cs="Arial"/>
          <w:color w:val="464c55"/>
          <w:sz w:val="14"/>
          <w:vertAlign w:val="superscript"/>
        </w:rPr>
        <w:t xml:space="preserve"> 2</w:t>
      </w:r>
      <w:r>
        <w:rPr>
          <w:rFonts w:ascii="Arial" w:hAnsi="Arial" w:eastAsia="Arial" w:cs="Arial"/>
          <w:color w:val="464c55"/>
          <w:sz w:val="20"/>
        </w:rPr>
        <w:t xml:space="preserve"> </w:t>
      </w:r>
      <w:r>
        <w:rPr>
          <w:rFonts w:ascii="Arial" w:hAnsi="Arial" w:eastAsia="Arial" w:cs="Arial"/>
          <w:color w:val="464c55"/>
        </w:rPr>
        <w:t xml:space="preserve">с 10 ноября 2021 г. -</w:t>
      </w:r>
      <w:r>
        <w:rPr>
          <w:rFonts w:ascii="Arial" w:hAnsi="Arial" w:eastAsia="Arial" w:cs="Arial"/>
          <w:color w:val="464c55"/>
          <w:sz w:val="20"/>
        </w:rPr>
        <w:t xml:space="preserve"> </w:t>
      </w:r>
      <w:hyperlink r:id="rId25" w:tooltip="https://ivo.garant.ru/#/document/402998518/entry/0" w:history="1">
        <w:r>
          <w:rPr>
            <w:rStyle w:val="174"/>
            <w:rFonts w:ascii="Arial" w:hAnsi="Arial" w:eastAsia="Arial" w:cs="Arial"/>
            <w:color w:val="3272c0"/>
            <w:sz w:val="20"/>
            <w:u w:val="none"/>
          </w:rPr>
          <w:t xml:space="preserve">Постановление</w:t>
        </w:r>
      </w:hyperlink>
      <w:r>
        <w:rPr>
          <w:rFonts w:ascii="Arial" w:hAnsi="Arial" w:eastAsia="Arial" w:cs="Arial"/>
          <w:color w:val="464c55"/>
          <w:sz w:val="20"/>
        </w:rPr>
        <w:t xml:space="preserve"> </w:t>
      </w:r>
      <w:r>
        <w:rPr>
          <w:rFonts w:ascii="Arial" w:hAnsi="Arial" w:eastAsia="Arial" w:cs="Arial"/>
          <w:color w:val="464c55"/>
        </w:rPr>
        <w:t xml:space="preserve">Правительства России от 30 октября 2021 г. N 1876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cyan"/>
        </w:rPr>
      </w:pPr>
      <w:r>
        <w:rPr>
          <w:rFonts w:ascii="Arial" w:hAnsi="Arial" w:eastAsia="Arial" w:cs="Arial"/>
          <w:color w:val="22272f"/>
          <w:sz w:val="23"/>
          <w:highlight w:val="cyan"/>
        </w:rPr>
        <w:t xml:space="preserve">5</w:t>
      </w:r>
      <w:r>
        <w:rPr>
          <w:rFonts w:ascii="Arial" w:hAnsi="Arial" w:eastAsia="Arial" w:cs="Arial"/>
          <w:color w:val="22272f"/>
          <w:sz w:val="16"/>
          <w:highlight w:val="cyan"/>
          <w:vertAlign w:val="superscript"/>
        </w:rPr>
        <w:t xml:space="preserve"> 2</w:t>
      </w:r>
      <w:r>
        <w:rPr>
          <w:rFonts w:ascii="Arial" w:hAnsi="Arial" w:eastAsia="Arial" w:cs="Arial"/>
          <w:color w:val="22272f"/>
          <w:sz w:val="23"/>
          <w:highlight w:val="cyan"/>
        </w:rPr>
        <w:t xml:space="preserve">. При расчете среднедушевого дохода не учитываются доходы, полученные в денежной форме от трудовой деятельности инвалидов, постоянно проживающих в организациях социального обслуживания и осуществляющих трудовую деятельность в организациях социального обслу</w:t>
      </w:r>
      <w:r>
        <w:rPr>
          <w:rFonts w:ascii="Arial" w:hAnsi="Arial" w:eastAsia="Arial" w:cs="Arial"/>
          <w:color w:val="22272f"/>
          <w:sz w:val="23"/>
          <w:highlight w:val="cyan"/>
        </w:rPr>
        <w:t xml:space="preserve">живания.</w:t>
      </w:r>
      <w:r>
        <w:rPr>
          <w:highlight w:val="cy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6. Доходы,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7. Доходы учитываются до вычета налогов и сборов в соответствии с </w:t>
      </w:r>
      <w:hyperlink r:id="rId26" w:tooltip="https://ivo.garant.ru/#/document/10900200/entry/20001" w:history="1">
        <w:r>
          <w:rPr>
            <w:rStyle w:val="174"/>
            <w:rFonts w:ascii="Arial" w:hAnsi="Arial" w:eastAsia="Arial" w:cs="Arial"/>
            <w:color w:val="3272c0"/>
            <w:sz w:val="23"/>
            <w:u w:val="none"/>
          </w:rPr>
          <w:t xml:space="preserve">законодательством</w:t>
        </w:r>
      </w:hyperlink>
      <w:r>
        <w:rPr>
          <w:rFonts w:ascii="Arial" w:hAnsi="Arial" w:eastAsia="Arial" w:cs="Arial"/>
          <w:color w:val="22272f"/>
          <w:sz w:val="23"/>
        </w:rPr>
        <w:t xml:space="preserve"> Российской Федерации.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yellow"/>
        </w:rPr>
      </w:pPr>
      <w:r>
        <w:rPr>
          <w:rFonts w:ascii="Arial" w:hAnsi="Arial" w:eastAsia="Arial" w:cs="Arial"/>
          <w:color w:val="22272f"/>
          <w:sz w:val="23"/>
          <w:highlight w:val="yellow"/>
        </w:rPr>
        <w:t xml:space="preserve">8. 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</w:t>
      </w:r>
      <w:r>
        <w:rPr>
          <w:rFonts w:ascii="Arial" w:hAnsi="Arial" w:eastAsia="Arial" w:cs="Arial"/>
          <w:color w:val="22272f"/>
          <w:sz w:val="23"/>
        </w:rPr>
        <w:t xml:space="preserve"> семьи или 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одиноко проживающего гражданина в месяце ее фактич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еского получения, который приходится на расчетный период. 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  <w:r>
        <w:rPr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9. Суммы оплаты сезонных, временных и других видов работ, выполняемых по срочным трудовым договорам,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</w:t>
      </w:r>
      <w:r>
        <w:rPr>
          <w:rFonts w:ascii="Arial" w:hAnsi="Arial" w:eastAsia="Arial" w:cs="Arial"/>
          <w:color w:val="22272f"/>
          <w:sz w:val="23"/>
        </w:rPr>
        <w:t xml:space="preserve">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10. 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yellow"/>
        </w:rPr>
      </w:pPr>
      <w:r>
        <w:rPr>
          <w:rFonts w:ascii="Arial" w:hAnsi="Arial" w:eastAsia="Arial" w:cs="Arial"/>
          <w:color w:val="22272f"/>
          <w:sz w:val="23"/>
          <w:highlight w:val="yellow"/>
        </w:rPr>
        <w:t xml:space="preserve">11. Расчет среднедушевого дохода производится исходя из суммы доходов</w:t>
      </w:r>
      <w:r>
        <w:rPr>
          <w:rFonts w:ascii="Arial" w:hAnsi="Arial" w:eastAsia="Arial" w:cs="Arial"/>
          <w:color w:val="22272f"/>
          <w:sz w:val="23"/>
        </w:rPr>
        <w:t xml:space="preserve"> членов семьи или </w:t>
      </w:r>
      <w:r>
        <w:rPr>
          <w:rFonts w:ascii="Arial" w:hAnsi="Arial" w:eastAsia="Arial" w:cs="Arial"/>
          <w:color w:val="22272f"/>
          <w:sz w:val="23"/>
          <w:highlight w:val="yellow"/>
        </w:rPr>
        <w:t xml:space="preserve">одиноко проживающего гражданина за последние 12 календарных месяцев, предшествующих месяцу подачи заявления о предоставлении социальных услуг.</w:t>
      </w:r>
      <w:r>
        <w:rPr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Arial" w:hAnsi="Arial" w:eastAsia="Arial" w:cs="Arial"/>
          <w:color w:val="22272f"/>
          <w:sz w:val="23"/>
        </w:rPr>
        <w:t xml:space="preserve">12. Среднедушевой доход рассчитывается путем деления одной двенадцатой суммы доходов всех членов семьи за расчетный период на число членов семьи.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highlight w:val="yellow"/>
        </w:rPr>
      </w:pPr>
      <w:r>
        <w:rPr>
          <w:rFonts w:ascii="Arial" w:hAnsi="Arial" w:eastAsia="Arial" w:cs="Arial"/>
          <w:color w:val="22272f"/>
          <w:sz w:val="23"/>
          <w:highlight w:val="yellow"/>
        </w:rPr>
        <w:t xml:space="preserve">13. Доход одиноко проживающего гражданина определяется как одна двенадцатая суммы его доходов за расчетный период.</w:t>
      </w:r>
      <w:r>
        <w:rPr>
          <w:highlight w:val="yellow"/>
        </w:rPr>
      </w:r>
    </w:p>
    <w:p>
      <w:pPr>
        <w:pBdr/>
        <w:spacing/>
        <w:ind/>
        <w:rPr/>
      </w:pP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febf6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b4d2eb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b4d2eb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f6c3a1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f6c3a1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6d6d6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fee189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fee189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abfe3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abfe3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bedba8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bedba8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5b9bd5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ed7d31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a5a5a5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ffc000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67a4d8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f4b185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a5a5a5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ffd864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472c4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70ad47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/>
      <w:ind/>
    </w:pPr>
  </w:style>
  <w:style w:type="table" w:styleId="61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 w:default="1">
    <w:name w:val="No List"/>
    <w:uiPriority w:val="99"/>
    <w:semiHidden/>
    <w:unhideWhenUsed/>
    <w:pPr>
      <w:pBdr/>
      <w:spacing/>
      <w:ind/>
    </w:pPr>
  </w:style>
  <w:style w:type="paragraph" w:styleId="620">
    <w:name w:val="No Spacing"/>
    <w:basedOn w:val="617"/>
    <w:uiPriority w:val="1"/>
    <w:qFormat/>
    <w:pPr>
      <w:pBdr/>
      <w:spacing w:after="0" w:line="240" w:lineRule="auto"/>
      <w:ind/>
    </w:pPr>
  </w:style>
  <w:style w:type="paragraph" w:styleId="62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character" w:styleId="626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ivo.garant.ru/#/document/70552648/entry/314" TargetMode="External"/><Relationship Id="rId9" Type="http://schemas.openxmlformats.org/officeDocument/2006/relationships/hyperlink" Target="https://ivo.garant.ru/#/document/70771488/entry/35" TargetMode="External"/><Relationship Id="rId10" Type="http://schemas.openxmlformats.org/officeDocument/2006/relationships/hyperlink" Target="https://ivo.garant.ru/#/document/70771488/entry/35" TargetMode="External"/><Relationship Id="rId11" Type="http://schemas.openxmlformats.org/officeDocument/2006/relationships/hyperlink" Target="https://ivo.garant.ru/#/document/70771488/entry/0" TargetMode="External"/><Relationship Id="rId12" Type="http://schemas.openxmlformats.org/officeDocument/2006/relationships/hyperlink" Target="https://ivo.garant.ru/#/document/70552648/entry/314" TargetMode="External"/><Relationship Id="rId13" Type="http://schemas.openxmlformats.org/officeDocument/2006/relationships/hyperlink" Target="https://ivo.garant.ru/#/document/70552648/entry/311" TargetMode="External"/><Relationship Id="rId14" Type="http://schemas.openxmlformats.org/officeDocument/2006/relationships/hyperlink" Target="https://ivo.garant.ru/#/document/70552648/entry/313" TargetMode="External"/><Relationship Id="rId15" Type="http://schemas.openxmlformats.org/officeDocument/2006/relationships/hyperlink" Target="https://ivo.garant.ru/#/document/73579060/entry/1" TargetMode="External"/><Relationship Id="rId16" Type="http://schemas.openxmlformats.org/officeDocument/2006/relationships/hyperlink" Target="https://ivo.garant.ru/#/document/70771488/entry/5" TargetMode="External"/><Relationship Id="rId17" Type="http://schemas.openxmlformats.org/officeDocument/2006/relationships/hyperlink" Target="https://ivo.garant.ru/#/document/71361632/entry/5" TargetMode="External"/><Relationship Id="rId18" Type="http://schemas.openxmlformats.org/officeDocument/2006/relationships/hyperlink" Target="https://ivo.garant.ru/#/multilink/70771488/paragraph/29/number/0" TargetMode="External"/><Relationship Id="rId19" Type="http://schemas.openxmlformats.org/officeDocument/2006/relationships/hyperlink" Target="https://ivo.garant.ru/#/document/12125143/entry/2" TargetMode="External"/><Relationship Id="rId20" Type="http://schemas.openxmlformats.org/officeDocument/2006/relationships/hyperlink" Target="https://ivo.garant.ru/#/document/74172301/entry/1049" TargetMode="External"/><Relationship Id="rId21" Type="http://schemas.openxmlformats.org/officeDocument/2006/relationships/hyperlink" Target="https://ivo.garant.ru/#/document/74172301/entry/2" TargetMode="External"/><Relationship Id="rId22" Type="http://schemas.openxmlformats.org/officeDocument/2006/relationships/hyperlink" Target="https://ivo.garant.ru/#/document/77695851/entry/24" TargetMode="External"/><Relationship Id="rId23" Type="http://schemas.openxmlformats.org/officeDocument/2006/relationships/hyperlink" Target="https://ivo.garant.ru/#/document/73969859/entry/1003" TargetMode="External"/><Relationship Id="rId24" Type="http://schemas.openxmlformats.org/officeDocument/2006/relationships/hyperlink" Target="https://ivo.garant.ru/#/document/77706779/entry/1051" TargetMode="External"/><Relationship Id="rId25" Type="http://schemas.openxmlformats.org/officeDocument/2006/relationships/hyperlink" Target="https://ivo.garant.ru/#/document/402998518/entry/0" TargetMode="External"/><Relationship Id="rId26" Type="http://schemas.openxmlformats.org/officeDocument/2006/relationships/hyperlink" Target="https://ivo.garant.ru/#/document/10900200/entry/2000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2024-04-10T05:15:20Z</dcterms:modified>
</cp:coreProperties>
</file>