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D4123" w14:textId="77777777" w:rsidR="00DE331B" w:rsidRPr="009B4C0A" w:rsidRDefault="000F561D" w:rsidP="009B4C0A">
      <w:pPr>
        <w:jc w:val="center"/>
        <w:rPr>
          <w:rFonts w:ascii="Times New Roman" w:hAnsi="Times New Roman" w:cs="Times New Roman"/>
          <w:b/>
        </w:rPr>
      </w:pPr>
      <w:r w:rsidRPr="009B4C0A">
        <w:rPr>
          <w:rFonts w:ascii="Times New Roman" w:hAnsi="Times New Roman" w:cs="Times New Roman"/>
          <w:b/>
        </w:rPr>
        <w:t>ОСНОВНЫЕ ПОЛОЖЕНИЯ УЧЕТНОЙ ПОЛИТИКИ ОАУСО «НОВГОРОДСКИЙ ЦСА»,</w:t>
      </w:r>
    </w:p>
    <w:p w14:paraId="0838C0F2" w14:textId="77777777" w:rsidR="000F561D" w:rsidRPr="009B4C0A" w:rsidRDefault="009B4C0A" w:rsidP="009B4C0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</w:t>
      </w:r>
      <w:r w:rsidR="000F561D" w:rsidRPr="009B4C0A">
        <w:rPr>
          <w:rFonts w:ascii="Times New Roman" w:hAnsi="Times New Roman" w:cs="Times New Roman"/>
          <w:b/>
        </w:rPr>
        <w:t>ринятой приказом от 16 мая 2025 года №11-ОД</w:t>
      </w:r>
    </w:p>
    <w:p w14:paraId="044EC69B" w14:textId="77777777" w:rsidR="009B4C0A" w:rsidRPr="009B4C0A" w:rsidRDefault="009B4C0A" w:rsidP="009B4C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9B4C0A">
        <w:rPr>
          <w:rFonts w:ascii="Times New Roman" w:hAnsi="Times New Roman" w:cs="Times New Roman"/>
        </w:rPr>
        <w:t>Учетная политика областного автономного учреждения социального обслуживания «Новгородский центр социальной адаптации»</w:t>
      </w:r>
      <w:r>
        <w:rPr>
          <w:rFonts w:ascii="Times New Roman" w:hAnsi="Times New Roman" w:cs="Times New Roman"/>
        </w:rPr>
        <w:t xml:space="preserve"> </w:t>
      </w:r>
      <w:r w:rsidRPr="009B4C0A">
        <w:rPr>
          <w:rFonts w:ascii="Times New Roman" w:hAnsi="Times New Roman" w:cs="Times New Roman"/>
        </w:rPr>
        <w:t>разработана в соответствии со следующими нормативными актами:</w:t>
      </w:r>
    </w:p>
    <w:p w14:paraId="5D25CEBF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</w:rPr>
        <w:t xml:space="preserve">           - </w:t>
      </w:r>
      <w:r w:rsidRPr="009B4C0A">
        <w:rPr>
          <w:rFonts w:ascii="Times New Roman" w:hAnsi="Times New Roman" w:cs="Times New Roman"/>
          <w:color w:val="000000" w:themeColor="text1"/>
        </w:rPr>
        <w:t xml:space="preserve">Федеральным </w:t>
      </w:r>
      <w:hyperlink r:id="rId4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закон</w:t>
        </w:r>
      </w:hyperlink>
      <w:r w:rsidRPr="009B4C0A">
        <w:rPr>
          <w:rFonts w:ascii="Times New Roman" w:hAnsi="Times New Roman" w:cs="Times New Roman"/>
          <w:color w:val="000000" w:themeColor="text1"/>
        </w:rPr>
        <w:t>ом от 06 декабря 2011 года № 402-ФЗ «О бухгалтерском учете»;</w:t>
      </w:r>
    </w:p>
    <w:p w14:paraId="0E795633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Федеральным </w:t>
      </w:r>
      <w:hyperlink r:id="rId5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закон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от 03 ноября 2006 года № 174-ФЗ «Об автономных учреждениях»; </w:t>
      </w:r>
    </w:p>
    <w:p w14:paraId="5FEC89B7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федеральным </w:t>
      </w:r>
      <w:hyperlink r:id="rId6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стандарт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сектора», утвержденным приказом Минфина России от 31 декабря 2016 года № 256н; </w:t>
      </w:r>
    </w:p>
    <w:p w14:paraId="106C0B3F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федеральным </w:t>
      </w:r>
      <w:hyperlink r:id="rId7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стандарт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бухгалтерского учета для организаций государственного сектора «Основные средства», утвержденным приказом Минфина России от 31 декабря 2016 года № 257н; </w:t>
      </w:r>
    </w:p>
    <w:p w14:paraId="1BF83A98" w14:textId="77777777" w:rsidR="009B4C0A" w:rsidRPr="009B4C0A" w:rsidRDefault="009B4C0A" w:rsidP="009B4C0A">
      <w:pPr>
        <w:rPr>
          <w:rFonts w:ascii="Times New Roman" w:hAnsi="Times New Roman" w:cs="Times New Roman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федеральным </w:t>
      </w:r>
      <w:hyperlink r:id="rId8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стандарт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бухгалтерского учета для организаций государственного сектора «Аренда», утвержденным </w:t>
      </w:r>
      <w:r w:rsidRPr="009B4C0A">
        <w:rPr>
          <w:rFonts w:ascii="Times New Roman" w:hAnsi="Times New Roman" w:cs="Times New Roman"/>
        </w:rPr>
        <w:t xml:space="preserve">приказом Минфина России от 31.12.2016 № 258н; </w:t>
      </w:r>
    </w:p>
    <w:p w14:paraId="1CEC905E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</w:rPr>
        <w:t xml:space="preserve">- </w:t>
      </w:r>
      <w:r w:rsidRPr="009B4C0A">
        <w:rPr>
          <w:rFonts w:ascii="Times New Roman" w:hAnsi="Times New Roman" w:cs="Times New Roman"/>
          <w:color w:val="000000" w:themeColor="text1"/>
        </w:rPr>
        <w:t xml:space="preserve">федеральным </w:t>
      </w:r>
      <w:hyperlink r:id="rId9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стандарт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бухгалтерского учета для организаций государственного сектора «Обесценение активов», утвержденным приказом Минфина России от 31 декабря 2016 года № 259н; </w:t>
      </w:r>
    </w:p>
    <w:p w14:paraId="3A6B3400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федеральным </w:t>
      </w:r>
      <w:hyperlink r:id="rId10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стандарт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бухгалтерского учета для организаций государственного сектора «Представление бухгалтерской (финансовой) отчетности», утвержденным приказом Минфина России от 31 декабря 2016 года № 260н; </w:t>
      </w:r>
    </w:p>
    <w:p w14:paraId="3DB6B346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федеральным </w:t>
      </w:r>
      <w:hyperlink r:id="rId11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стандарт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бухгалтерского учета для организаций государственного сектора «Учетная политика, оценочные значения и ошибки», утвержденным приказом Минфина России от 30 декабря 2017 года № 274н; </w:t>
      </w:r>
    </w:p>
    <w:p w14:paraId="25086504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федеральным </w:t>
      </w:r>
      <w:hyperlink r:id="rId12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стандарт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бухгалтерского учета для организаций государственного сектора «События после отчетной даты», утвержденным приказом Минфина России от 30 декабря 2017 № 275н; </w:t>
      </w:r>
    </w:p>
    <w:p w14:paraId="4E180319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федеральным </w:t>
      </w:r>
      <w:hyperlink r:id="rId13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стандарт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бухгалтерского учета для организаций государственного сектора «Отчет о движении денежных средств», утвержденным приказом Минфина России от 30 декабря 2017 года № 278н; </w:t>
      </w:r>
    </w:p>
    <w:p w14:paraId="0A3BBC37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федеральным </w:t>
      </w:r>
      <w:hyperlink r:id="rId14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стандарт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бухгалтерского учета для организаций государственного сектора «Доходы», утвержденным приказом Минфина России от 27 февраля 2018 года № 32н; </w:t>
      </w:r>
    </w:p>
    <w:p w14:paraId="30B02D33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федеральным </w:t>
      </w:r>
      <w:hyperlink r:id="rId15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стандарт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бухгалтерского учета для организаций государственного сектора «Информация о связанных сторонах», утвержденным приказом Минфина России от 30 декабря 2017 года № 277н; </w:t>
      </w:r>
    </w:p>
    <w:p w14:paraId="71C2BF3D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федеральным </w:t>
      </w:r>
      <w:hyperlink r:id="rId16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стандарт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бухгалтерского учета для организаций государственного сектора «Непроизведенные активы», утвержденным приказом Минфина России от 28 февраля 2018 года № 34н; </w:t>
      </w:r>
    </w:p>
    <w:p w14:paraId="572F6C76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федеральным </w:t>
      </w:r>
      <w:hyperlink r:id="rId17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стандарт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бухгалтерского учета для организаций государственного сектора «Бюджетная информация в бухгалтерской (финансовой) отчетности», утвержденным приказом Минфина России от 28 февраля 2018 года № 37н; </w:t>
      </w:r>
    </w:p>
    <w:p w14:paraId="5160DAE2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федеральным </w:t>
      </w:r>
      <w:hyperlink r:id="rId18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стандарт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бухгалтерского учета для организаций государственного сектора «Резервы. Раскрытие информации об условных обязательствах и условных активах», утвержденным приказом Минфина России от 30 мая 2018 года № 124н; </w:t>
      </w:r>
    </w:p>
    <w:p w14:paraId="0BB9FF26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lastRenderedPageBreak/>
        <w:t xml:space="preserve">- федеральным </w:t>
      </w:r>
      <w:hyperlink r:id="rId19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стандарт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бухгалтерского учета для организаций государственного сектора «Долгосрочные договоры», утвержденным приказом Минфина России от 29 июня 2018 года № 145н; </w:t>
      </w:r>
    </w:p>
    <w:p w14:paraId="797E0F9F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федеральным </w:t>
      </w:r>
      <w:hyperlink r:id="rId20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стандарт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бухгалтерского учета для организаций государственного сектора «Запасы», утвержденным приказом Минфина России от 07 декабря 2018 года № 256н; </w:t>
      </w:r>
    </w:p>
    <w:p w14:paraId="742A3727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федеральным </w:t>
      </w:r>
      <w:hyperlink r:id="rId21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стандарт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бухгалтерского учета для организаций государственного сектора «Бухгалтерская (финансовая) отчетность с учетом инфляции», утвержденным приказом Минфина России от 29 декабря 2018 года № 305н; </w:t>
      </w:r>
    </w:p>
    <w:p w14:paraId="1292BEB1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-федеральным </w:t>
      </w:r>
      <w:hyperlink r:id="rId22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стандарт</w:t>
        </w:r>
      </w:hyperlink>
      <w:r w:rsidRPr="009B4C0A">
        <w:rPr>
          <w:rFonts w:ascii="Times New Roman" w:hAnsi="Times New Roman" w:cs="Times New Roman"/>
          <w:color w:val="000000" w:themeColor="text1"/>
        </w:rPr>
        <w:t>ом бухгалтерского учета государственных финансов «</w:t>
      </w:r>
      <w:proofErr w:type="spellStart"/>
      <w:r w:rsidRPr="009B4C0A">
        <w:rPr>
          <w:rFonts w:ascii="Times New Roman" w:hAnsi="Times New Roman" w:cs="Times New Roman"/>
          <w:color w:val="000000" w:themeColor="text1"/>
        </w:rPr>
        <w:t>Нематериальнве</w:t>
      </w:r>
      <w:proofErr w:type="spellEnd"/>
      <w:r w:rsidRPr="009B4C0A">
        <w:rPr>
          <w:rFonts w:ascii="Times New Roman" w:hAnsi="Times New Roman" w:cs="Times New Roman"/>
          <w:color w:val="000000" w:themeColor="text1"/>
        </w:rPr>
        <w:t xml:space="preserve"> активы», утвержденным приказом Минфина России от 15 ноября 2019 года № 181н; </w:t>
      </w:r>
    </w:p>
    <w:p w14:paraId="22AA58F4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-федеральным </w:t>
      </w:r>
      <w:hyperlink r:id="rId23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стандарт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бухгалтерского учета государственных финансов «Затраты по заимствованиям», утвержденным приказом Минфина России от 15 ноября 2019 года № 182н; </w:t>
      </w:r>
    </w:p>
    <w:p w14:paraId="7C235B82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-федеральным </w:t>
      </w:r>
      <w:hyperlink r:id="rId24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стандарт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бухгалтерского учета государственных финансов «Выплаты персоналу», утвержденным приказом Минфина России от 15 ноября 2019 года № 184н; </w:t>
      </w:r>
    </w:p>
    <w:p w14:paraId="737A8661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федеральным </w:t>
      </w:r>
      <w:hyperlink r:id="rId25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стандарт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бухгалтерского учета государственных финансов «Финансовые инструменты», утвержденным приказом Минфина России от 30 июня 2020 года № 129н; </w:t>
      </w:r>
    </w:p>
    <w:p w14:paraId="3E8236B1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федеральным </w:t>
      </w:r>
      <w:hyperlink r:id="rId26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стандарт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бухгалтерского учета государственных финансов «Метод долевого участия», утвержденным приказом Минфина России от 30 октября 2020 года № 254н; </w:t>
      </w:r>
    </w:p>
    <w:p w14:paraId="2478FD18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</w:t>
      </w:r>
      <w:hyperlink r:id="rId27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приказ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Минфина России от 15 апреля 2021 года № 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применению», включая Приложение № 5 – Методические </w:t>
      </w:r>
      <w:hyperlink r:id="rId28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указания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 по формированию и применению унифицированных форм электронных документов бухгалтерского учета при ведении бюджетного учета, бухгалтерского учета государственных (муниципальных) учреждений; </w:t>
      </w:r>
    </w:p>
    <w:p w14:paraId="50923E8F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</w:t>
      </w:r>
      <w:hyperlink r:id="rId29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Указание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м Банка России от 11 марта 2014 года № 3210-У «О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предпринимательства»; </w:t>
      </w:r>
    </w:p>
    <w:p w14:paraId="1576E0AC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</w:t>
      </w:r>
      <w:hyperlink r:id="rId30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Указание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м Банка России от 09 декабря 2019 года № 5348-У «О правилах наличных расчетов»; </w:t>
      </w:r>
    </w:p>
    <w:p w14:paraId="0C95EF78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Методическими </w:t>
      </w:r>
      <w:hyperlink r:id="rId31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рекомендаци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ями «Нормы расхода топлива и смазочных материалов на автомобильном транспорте», введенными в действие Распоряжением Минтранса России от 14 марта 2008 года № АМ-23-р; </w:t>
      </w:r>
    </w:p>
    <w:p w14:paraId="6F107EEC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</w:t>
      </w:r>
      <w:hyperlink r:id="rId32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Инструкци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ей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утвержденной приказом Минфина России от 25 марта 2011 года № 33н; </w:t>
      </w:r>
    </w:p>
    <w:p w14:paraId="66E203A4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</w:t>
      </w:r>
      <w:hyperlink r:id="rId33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Порядк</w:t>
        </w:r>
      </w:hyperlink>
      <w:r w:rsidRPr="009B4C0A">
        <w:rPr>
          <w:rFonts w:ascii="Times New Roman" w:hAnsi="Times New Roman" w:cs="Times New Roman"/>
          <w:color w:val="000000" w:themeColor="text1"/>
        </w:rPr>
        <w:t>ом формирования и применения кодов бюджетной классификации Российской Федерации, их структурой и принципами назначения, утвержденным Приказом Минфина России от 24 мая 2022 года № 82н;</w:t>
      </w:r>
    </w:p>
    <w:p w14:paraId="07B2979A" w14:textId="77777777" w:rsidR="009B4C0A" w:rsidRPr="009B4C0A" w:rsidRDefault="009B4C0A" w:rsidP="009B4C0A">
      <w:pPr>
        <w:rPr>
          <w:rFonts w:ascii="Times New Roman" w:hAnsi="Times New Roman" w:cs="Times New Roman"/>
          <w:color w:val="000000" w:themeColor="text1"/>
        </w:rPr>
      </w:pPr>
      <w:r w:rsidRPr="009B4C0A">
        <w:rPr>
          <w:rFonts w:ascii="Times New Roman" w:hAnsi="Times New Roman" w:cs="Times New Roman"/>
          <w:color w:val="000000" w:themeColor="text1"/>
        </w:rPr>
        <w:t xml:space="preserve">- </w:t>
      </w:r>
      <w:hyperlink r:id="rId34" w:history="1">
        <w:r w:rsidRPr="009B4C0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Порядк</w:t>
        </w:r>
      </w:hyperlink>
      <w:r w:rsidRPr="009B4C0A">
        <w:rPr>
          <w:rFonts w:ascii="Times New Roman" w:hAnsi="Times New Roman" w:cs="Times New Roman"/>
          <w:color w:val="000000" w:themeColor="text1"/>
        </w:rPr>
        <w:t xml:space="preserve">ом применения классификации операций сектора государственного управления, утвержденным приказом Минфина России от 29 ноября 2017 года № 209н. </w:t>
      </w:r>
    </w:p>
    <w:p w14:paraId="696EAD6F" w14:textId="77777777" w:rsidR="009B4C0A" w:rsidRPr="009B4C0A" w:rsidRDefault="009B4C0A" w:rsidP="009B4C0A">
      <w:pPr>
        <w:rPr>
          <w:rFonts w:ascii="Times New Roman" w:hAnsi="Times New Roman" w:cs="Times New Roman"/>
        </w:rPr>
      </w:pPr>
      <w:r w:rsidRPr="009B4C0A">
        <w:rPr>
          <w:rFonts w:ascii="Times New Roman" w:hAnsi="Times New Roman" w:cs="Times New Roman"/>
          <w:color w:val="000000" w:themeColor="text1"/>
        </w:rPr>
        <w:t>- Приказом Минфина России от 1 декабря</w:t>
      </w:r>
      <w:r w:rsidRPr="009B4C0A">
        <w:rPr>
          <w:rFonts w:ascii="Times New Roman" w:hAnsi="Times New Roman" w:cs="Times New Roman"/>
        </w:rPr>
        <w:t xml:space="preserve"> 2010 г. № 157н «Об утверждении Единого плана счетов бухгалтерского учета для органов государственной власти </w:t>
      </w:r>
      <w:r w:rsidRPr="009B4C0A">
        <w:rPr>
          <w:rFonts w:ascii="Times New Roman" w:hAnsi="Times New Roman" w:cs="Times New Roman"/>
        </w:rPr>
        <w:br/>
        <w:t xml:space="preserve">(государственных органов), органов местного самоуправления, органов управления </w:t>
      </w:r>
      <w:r w:rsidRPr="009B4C0A">
        <w:rPr>
          <w:rFonts w:ascii="Times New Roman" w:hAnsi="Times New Roman" w:cs="Times New Roman"/>
        </w:rPr>
        <w:lastRenderedPageBreak/>
        <w:t>государственными внебюджетными фондами, государственных академий наук, государственных (муниципальных) учреждений и Инструкции по его применению»;</w:t>
      </w:r>
    </w:p>
    <w:p w14:paraId="560067E5" w14:textId="77777777" w:rsidR="009B4C0A" w:rsidRPr="009B4C0A" w:rsidRDefault="009B4C0A" w:rsidP="009B4C0A">
      <w:pPr>
        <w:rPr>
          <w:rFonts w:ascii="Times New Roman" w:hAnsi="Times New Roman" w:cs="Times New Roman"/>
        </w:rPr>
      </w:pPr>
      <w:r w:rsidRPr="009B4C0A">
        <w:rPr>
          <w:rFonts w:ascii="Times New Roman" w:hAnsi="Times New Roman" w:cs="Times New Roman"/>
        </w:rPr>
        <w:t>- приказом Минфина России от 23 декабря 2010 г. № 183н «Об утверждении Плана счетов бухгалтерского учета автономных учреждений и Инструкции по его применению»;</w:t>
      </w:r>
    </w:p>
    <w:p w14:paraId="689E9D99" w14:textId="77777777" w:rsidR="009B4C0A" w:rsidRPr="009B4C0A" w:rsidRDefault="009B4C0A" w:rsidP="009B4C0A">
      <w:pPr>
        <w:rPr>
          <w:rFonts w:ascii="Times New Roman" w:hAnsi="Times New Roman" w:cs="Times New Roman"/>
        </w:rPr>
      </w:pPr>
      <w:r w:rsidRPr="009B4C0A">
        <w:rPr>
          <w:rFonts w:ascii="Times New Roman" w:hAnsi="Times New Roman" w:cs="Times New Roman"/>
        </w:rPr>
        <w:t>- Приказом Минфина России от 30 марта 2015 г. № 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</w:t>
      </w:r>
      <w:r w:rsidRPr="009B4C0A">
        <w:rPr>
          <w:rFonts w:ascii="Times New Roman" w:hAnsi="Times New Roman" w:cs="Times New Roman"/>
          <w:i/>
          <w:iCs/>
        </w:rPr>
        <w:t xml:space="preserve"> </w:t>
      </w:r>
      <w:r w:rsidRPr="009B4C0A">
        <w:rPr>
          <w:rFonts w:ascii="Times New Roman" w:hAnsi="Times New Roman" w:cs="Times New Roman"/>
        </w:rPr>
        <w:t>внебюджетными фондами, государственными (муниципальными) учреждениями, и Методических указаний по их применению».</w:t>
      </w:r>
    </w:p>
    <w:p w14:paraId="2810D585" w14:textId="77777777" w:rsidR="009B4C0A" w:rsidRDefault="009B4C0A" w:rsidP="009B4C0A">
      <w:pPr>
        <w:rPr>
          <w:rFonts w:ascii="Times New Roman" w:hAnsi="Times New Roman" w:cs="Times New Roman"/>
        </w:rPr>
      </w:pPr>
      <w:r w:rsidRPr="009B4C0A">
        <w:rPr>
          <w:rFonts w:ascii="Times New Roman" w:hAnsi="Times New Roman" w:cs="Times New Roman"/>
        </w:rPr>
        <w:t>В части исполнения полномочий получателя бюджетных средств учреждение ведет учет в соответствии с приказом Минфина России от 6 декабря 2010 г. № 162н «Об утверждении плана счетов бюджетного учета и Инструкции по его применению».</w:t>
      </w:r>
    </w:p>
    <w:p w14:paraId="28DC081D" w14:textId="77777777" w:rsidR="009B4C0A" w:rsidRDefault="009B4C0A" w:rsidP="009B4C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9B4C0A">
        <w:rPr>
          <w:rFonts w:ascii="Times New Roman" w:hAnsi="Times New Roman" w:cs="Times New Roman"/>
        </w:rPr>
        <w:t>. Бухгалтерский учет ведется структурным подразделением – бухгалтерией, возглавляемым главным бухгалтером.</w:t>
      </w:r>
    </w:p>
    <w:p w14:paraId="1C300E3D" w14:textId="77777777" w:rsidR="000F561D" w:rsidRDefault="009B4C0A" w:rsidP="009B4C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Pr="009B4C0A">
        <w:rPr>
          <w:rFonts w:ascii="Times New Roman" w:hAnsi="Times New Roman" w:cs="Times New Roman"/>
        </w:rPr>
        <w:t xml:space="preserve"> В учреждении утвержден состав постоянно действующих комиссий:</w:t>
      </w:r>
      <w:r w:rsidRPr="009B4C0A">
        <w:rPr>
          <w:rFonts w:ascii="Times New Roman" w:hAnsi="Times New Roman" w:cs="Times New Roman"/>
        </w:rPr>
        <w:br/>
        <w:t>– комиссии по поступлению и выбытию активов, инвентаризации;</w:t>
      </w:r>
      <w:r w:rsidRPr="009B4C0A">
        <w:rPr>
          <w:rFonts w:ascii="Times New Roman" w:hAnsi="Times New Roman" w:cs="Times New Roman"/>
        </w:rPr>
        <w:br/>
        <w:t>– комиссии по внутреннему финансовому контролю</w:t>
      </w:r>
      <w:r>
        <w:rPr>
          <w:rFonts w:ascii="Times New Roman" w:hAnsi="Times New Roman" w:cs="Times New Roman"/>
        </w:rPr>
        <w:t>.</w:t>
      </w:r>
      <w:r w:rsidRPr="009B4C0A">
        <w:rPr>
          <w:rFonts w:ascii="Times New Roman" w:hAnsi="Times New Roman" w:cs="Times New Roman"/>
        </w:rPr>
        <w:t> </w:t>
      </w:r>
    </w:p>
    <w:p w14:paraId="7A9EFB7F" w14:textId="77777777" w:rsidR="009B4C0A" w:rsidRPr="00E62A86" w:rsidRDefault="009B4C0A" w:rsidP="009B4C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9B4C0A">
        <w:rPr>
          <w:rFonts w:ascii="Times New Roman" w:hAnsi="Times New Roman" w:cs="Times New Roman"/>
        </w:rPr>
        <w:t xml:space="preserve">. Бухгалтерский учет ведется в электронном виде с применением программных продуктов «1С </w:t>
      </w:r>
      <w:r w:rsidRPr="00E62A86">
        <w:rPr>
          <w:rFonts w:ascii="Times New Roman" w:hAnsi="Times New Roman" w:cs="Times New Roman"/>
        </w:rPr>
        <w:t>Б</w:t>
      </w:r>
      <w:r w:rsidRPr="00E62A86">
        <w:rPr>
          <w:rFonts w:ascii="Times New Roman" w:hAnsi="Times New Roman" w:cs="Times New Roman"/>
          <w:bCs/>
          <w:iCs/>
        </w:rPr>
        <w:t>ухгалтерия</w:t>
      </w:r>
      <w:r w:rsidRPr="00E62A86">
        <w:rPr>
          <w:rFonts w:ascii="Times New Roman" w:hAnsi="Times New Roman" w:cs="Times New Roman"/>
        </w:rPr>
        <w:t xml:space="preserve">» и «1С </w:t>
      </w:r>
      <w:r w:rsidRPr="00E62A86">
        <w:rPr>
          <w:rFonts w:ascii="Times New Roman" w:hAnsi="Times New Roman" w:cs="Times New Roman"/>
          <w:bCs/>
          <w:iCs/>
        </w:rPr>
        <w:t>Зарплата</w:t>
      </w:r>
      <w:r w:rsidRPr="00E62A86">
        <w:rPr>
          <w:rFonts w:ascii="Times New Roman" w:hAnsi="Times New Roman" w:cs="Times New Roman"/>
        </w:rPr>
        <w:t xml:space="preserve">». </w:t>
      </w:r>
    </w:p>
    <w:p w14:paraId="40231FF6" w14:textId="38A084AC" w:rsidR="009B4C0A" w:rsidRDefault="009B4C0A" w:rsidP="009B4C0A">
      <w:pPr>
        <w:rPr>
          <w:rFonts w:ascii="Times New Roman" w:hAnsi="Times New Roman" w:cs="Times New Roman"/>
        </w:rPr>
      </w:pPr>
      <w:r w:rsidRPr="00E62A86">
        <w:rPr>
          <w:rFonts w:ascii="Times New Roman" w:hAnsi="Times New Roman" w:cs="Times New Roman"/>
        </w:rPr>
        <w:t>5. Бухгалтерский учет ведется с использованием Рабочего плана счетов</w:t>
      </w:r>
      <w:r w:rsidR="00585144">
        <w:rPr>
          <w:rFonts w:ascii="Times New Roman" w:hAnsi="Times New Roman" w:cs="Times New Roman"/>
        </w:rPr>
        <w:t>.</w:t>
      </w:r>
    </w:p>
    <w:p w14:paraId="6B1C058D" w14:textId="77777777" w:rsidR="006B331A" w:rsidRDefault="004C3670" w:rsidP="009B4C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6B331A">
        <w:rPr>
          <w:rFonts w:ascii="Times New Roman" w:hAnsi="Times New Roman" w:cs="Times New Roman"/>
        </w:rPr>
        <w:t xml:space="preserve">. </w:t>
      </w:r>
      <w:r w:rsidR="006B331A" w:rsidRPr="006B331A">
        <w:rPr>
          <w:rFonts w:ascii="Times New Roman" w:hAnsi="Times New Roman" w:cs="Times New Roman"/>
        </w:rPr>
        <w:t>Учет основных средств на соответствующих счетах Плана счетов бухгалтерского учета ведется в соответствии с требованиями Общероссийского классификатора основных фондов ОК 013-2014, утвержденного приказом Росстандарта от 12 декабря 2014 г. № 2018-ст.</w:t>
      </w:r>
    </w:p>
    <w:p w14:paraId="37B03AED" w14:textId="77777777" w:rsidR="006B331A" w:rsidRDefault="006B331A" w:rsidP="009B4C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Pr="006B331A">
        <w:rPr>
          <w:rFonts w:ascii="Times New Roman" w:hAnsi="Times New Roman" w:cs="Times New Roman"/>
        </w:rPr>
        <w:t xml:space="preserve">Начисление амортизации основных средств в бухгалтерском учете производится </w:t>
      </w:r>
      <w:r w:rsidRPr="006B331A">
        <w:rPr>
          <w:rFonts w:ascii="Times New Roman" w:hAnsi="Times New Roman" w:cs="Times New Roman"/>
        </w:rPr>
        <w:br/>
        <w:t>линейным способом в соответствии со сроками полезного использования.</w:t>
      </w:r>
    </w:p>
    <w:p w14:paraId="7111B9B0" w14:textId="77777777" w:rsidR="006B331A" w:rsidRDefault="006B331A" w:rsidP="009B4C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У</w:t>
      </w:r>
      <w:r w:rsidRPr="006B331A">
        <w:rPr>
          <w:rFonts w:ascii="Times New Roman" w:hAnsi="Times New Roman" w:cs="Times New Roman"/>
        </w:rPr>
        <w:t>чет суммы амортизации при переоценке объекта основных средств</w:t>
      </w:r>
      <w:r>
        <w:rPr>
          <w:rFonts w:ascii="Times New Roman" w:hAnsi="Times New Roman" w:cs="Times New Roman"/>
        </w:rPr>
        <w:t xml:space="preserve"> производится следующим образом: п</w:t>
      </w:r>
      <w:r w:rsidRPr="006B331A">
        <w:rPr>
          <w:rFonts w:ascii="Times New Roman" w:hAnsi="Times New Roman" w:cs="Times New Roman"/>
        </w:rPr>
        <w:t xml:space="preserve">ересчет накопленной амортизации </w:t>
      </w:r>
      <w:r>
        <w:rPr>
          <w:rFonts w:ascii="Times New Roman" w:hAnsi="Times New Roman" w:cs="Times New Roman"/>
        </w:rPr>
        <w:t xml:space="preserve">производится </w:t>
      </w:r>
      <w:r w:rsidRPr="006B331A">
        <w:rPr>
          <w:rFonts w:ascii="Times New Roman" w:hAnsi="Times New Roman" w:cs="Times New Roman"/>
        </w:rPr>
        <w:t>пропорционально изменению первоначальной стоимости объекта основных средств таким образом, чтобы его остаточная стоимость после переоценки равнялась его переоцененной стоимости</w:t>
      </w:r>
      <w:r>
        <w:rPr>
          <w:rFonts w:ascii="Times New Roman" w:hAnsi="Times New Roman" w:cs="Times New Roman"/>
        </w:rPr>
        <w:t>.</w:t>
      </w:r>
    </w:p>
    <w:p w14:paraId="6004CFD1" w14:textId="0DC4F9F5" w:rsidR="0064289F" w:rsidRDefault="006B331A" w:rsidP="0064289F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  <w:r w:rsidRPr="0064289F">
        <w:rPr>
          <w:sz w:val="22"/>
          <w:szCs w:val="22"/>
        </w:rPr>
        <w:t xml:space="preserve">9. </w:t>
      </w:r>
      <w:r w:rsidR="0064289F" w:rsidRPr="0064289F">
        <w:rPr>
          <w:sz w:val="22"/>
          <w:szCs w:val="22"/>
        </w:rPr>
        <w:t xml:space="preserve">Имущество, относящееся к категории особо ценного имущества (ОЦИ), определяет </w:t>
      </w:r>
      <w:r w:rsidR="0064289F" w:rsidRPr="0064289F">
        <w:rPr>
          <w:sz w:val="22"/>
          <w:szCs w:val="22"/>
        </w:rPr>
        <w:br/>
        <w:t xml:space="preserve">комиссия по поступлению и выбытию активов (приложение 1). Такое имущество </w:t>
      </w:r>
      <w:r w:rsidR="0064289F" w:rsidRPr="0064289F">
        <w:rPr>
          <w:sz w:val="22"/>
          <w:szCs w:val="22"/>
        </w:rPr>
        <w:br/>
        <w:t>принимается к учету на основании приказа министерства строительства и инвестиционной политики Новгородской области.</w:t>
      </w:r>
    </w:p>
    <w:p w14:paraId="58B5D91C" w14:textId="5356EE59" w:rsidR="0064289F" w:rsidRDefault="0064289F" w:rsidP="0064289F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</w:p>
    <w:p w14:paraId="7C5927C3" w14:textId="77777777" w:rsidR="0064289F" w:rsidRPr="0064289F" w:rsidRDefault="0064289F" w:rsidP="0064289F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  <w:r w:rsidRPr="0064289F">
        <w:rPr>
          <w:sz w:val="22"/>
          <w:szCs w:val="22"/>
        </w:rPr>
        <w:t xml:space="preserve">10. </w:t>
      </w:r>
      <w:r w:rsidRPr="0064289F">
        <w:rPr>
          <w:sz w:val="22"/>
          <w:szCs w:val="22"/>
        </w:rPr>
        <w:t>Срок полезного использования объектов основных средств устанавливает бухгалтер, ответственный за учет основных средств, на основе:</w:t>
      </w:r>
      <w:r w:rsidRPr="0064289F">
        <w:rPr>
          <w:sz w:val="22"/>
          <w:szCs w:val="22"/>
        </w:rPr>
        <w:br/>
        <w:t xml:space="preserve">– информации, содержащейся в Общероссийском классификаторе основных фондов </w:t>
      </w:r>
      <w:r w:rsidRPr="0064289F">
        <w:rPr>
          <w:sz w:val="22"/>
          <w:szCs w:val="22"/>
        </w:rPr>
        <w:br/>
        <w:t>ОК 013-2014;</w:t>
      </w:r>
      <w:r w:rsidRPr="0064289F">
        <w:rPr>
          <w:sz w:val="22"/>
          <w:szCs w:val="22"/>
        </w:rPr>
        <w:br/>
        <w:t>– рекомендаций, содержащихся в документах производителя, – при отсутствии объекта в Общероссийском классификаторе.</w:t>
      </w:r>
    </w:p>
    <w:p w14:paraId="0357512A" w14:textId="2CDDEE4D" w:rsidR="0064289F" w:rsidRDefault="0064289F" w:rsidP="0064289F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  <w:r w:rsidRPr="0064289F">
        <w:rPr>
          <w:sz w:val="22"/>
          <w:szCs w:val="22"/>
        </w:rPr>
        <w:t>Если такая информация отсутствует, решение о сроке принимает комиссия по поступлению и выбытию активов (приложение 1) с учетом:</w:t>
      </w:r>
      <w:r w:rsidRPr="0064289F">
        <w:rPr>
          <w:sz w:val="22"/>
          <w:szCs w:val="22"/>
        </w:rPr>
        <w:br/>
        <w:t>– ожидаемого срока использования и физического износа объекта;</w:t>
      </w:r>
      <w:r w:rsidRPr="0064289F">
        <w:rPr>
          <w:sz w:val="22"/>
          <w:szCs w:val="22"/>
        </w:rPr>
        <w:br/>
        <w:t>– гарантийного срока использования;</w:t>
      </w:r>
      <w:r w:rsidRPr="0064289F">
        <w:rPr>
          <w:sz w:val="22"/>
          <w:szCs w:val="22"/>
        </w:rPr>
        <w:br/>
      </w:r>
      <w:r w:rsidRPr="006D66E5">
        <w:rPr>
          <w:sz w:val="22"/>
          <w:szCs w:val="22"/>
        </w:rPr>
        <w:t xml:space="preserve">– сроков фактической эксплуатации и ранее начисленной суммы амортизации – для </w:t>
      </w:r>
      <w:r w:rsidRPr="006D66E5">
        <w:rPr>
          <w:sz w:val="22"/>
          <w:szCs w:val="22"/>
        </w:rPr>
        <w:br/>
        <w:t>безвозмездно полученных объектов.</w:t>
      </w:r>
    </w:p>
    <w:p w14:paraId="356820FA" w14:textId="2BD69F2B" w:rsidR="006D66E5" w:rsidRDefault="006D66E5" w:rsidP="006D66E5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  <w:r w:rsidRPr="006D66E5">
        <w:rPr>
          <w:sz w:val="22"/>
          <w:szCs w:val="22"/>
        </w:rPr>
        <w:lastRenderedPageBreak/>
        <w:t xml:space="preserve">По объектам, включенным в амортизационные группы с первой по девятую, срок </w:t>
      </w:r>
      <w:r w:rsidRPr="006D66E5">
        <w:rPr>
          <w:sz w:val="22"/>
          <w:szCs w:val="22"/>
        </w:rPr>
        <w:br/>
        <w:t xml:space="preserve">полезного использования определяется по наибольшему сроку, указанному в </w:t>
      </w:r>
      <w:r w:rsidRPr="006D66E5">
        <w:rPr>
          <w:sz w:val="22"/>
          <w:szCs w:val="22"/>
        </w:rPr>
        <w:br/>
        <w:t xml:space="preserve">постановлении Правительства РФ от 1 января 2002 г. № 1 «О Классификации основных </w:t>
      </w:r>
      <w:r w:rsidRPr="006D66E5">
        <w:rPr>
          <w:sz w:val="22"/>
          <w:szCs w:val="22"/>
        </w:rPr>
        <w:br/>
        <w:t xml:space="preserve">средств, включаемых в амортизационные группы». </w:t>
      </w:r>
    </w:p>
    <w:p w14:paraId="63A5035E" w14:textId="4C7F29AE" w:rsidR="006D66E5" w:rsidRDefault="006D66E5" w:rsidP="006D66E5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</w:p>
    <w:p w14:paraId="456ECDB4" w14:textId="57C27635" w:rsidR="006D66E5" w:rsidRDefault="006D66E5" w:rsidP="006D66E5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11. Основные средства в эксплуатации стоимостью менее 10000 рублей за один объект, учитываемые на забалансовом счете 21, учитываются по балансовой стоимости введенного в эксплуатацию объекта.</w:t>
      </w:r>
    </w:p>
    <w:p w14:paraId="5A3DA26C" w14:textId="098CFAE7" w:rsidR="006D66E5" w:rsidRDefault="006D66E5" w:rsidP="006D66E5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</w:p>
    <w:p w14:paraId="635E4287" w14:textId="77777777" w:rsidR="00EF0C55" w:rsidRPr="00EF0C55" w:rsidRDefault="006D66E5" w:rsidP="00EF0C55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12.</w:t>
      </w:r>
      <w:r w:rsidR="00EF0C55">
        <w:rPr>
          <w:sz w:val="22"/>
          <w:szCs w:val="22"/>
        </w:rPr>
        <w:t xml:space="preserve"> </w:t>
      </w:r>
      <w:r w:rsidR="00EF0C55" w:rsidRPr="00EF0C55">
        <w:rPr>
          <w:sz w:val="22"/>
          <w:szCs w:val="22"/>
        </w:rPr>
        <w:t>Оценка материальных запасов, которые приобретены за плату, осуществляется по фактической стоимости приобретения с учетом расходов, связанных с их приобретением.</w:t>
      </w:r>
    </w:p>
    <w:p w14:paraId="2BC323CB" w14:textId="77777777" w:rsidR="00EF0C55" w:rsidRDefault="00EF0C55" w:rsidP="00EF0C55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  <w:r w:rsidRPr="00EF0C55">
        <w:rPr>
          <w:sz w:val="22"/>
          <w:szCs w:val="22"/>
        </w:rPr>
        <w:t>При одновременном приобретении нескольких видов материальных запасов расходы, связанные с их приобретением, распределяются пропорционально цене приобретаемых материалов.</w:t>
      </w:r>
      <w:r w:rsidRPr="00EF0C55">
        <w:rPr>
          <w:sz w:val="22"/>
          <w:szCs w:val="22"/>
        </w:rPr>
        <w:br/>
        <w:t>Единицей учета материальных запасов является номенклатурный номер.</w:t>
      </w:r>
    </w:p>
    <w:p w14:paraId="6B66EEDE" w14:textId="77777777" w:rsidR="00EF0C55" w:rsidRDefault="00EF0C55" w:rsidP="00EF0C55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</w:p>
    <w:p w14:paraId="090B6D88" w14:textId="77777777" w:rsidR="002F793E" w:rsidRDefault="00EF0C55" w:rsidP="00EF0C55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13. Выбытие материальных запасов осуществляется</w:t>
      </w:r>
      <w:r w:rsidR="002F793E">
        <w:rPr>
          <w:sz w:val="22"/>
          <w:szCs w:val="22"/>
        </w:rPr>
        <w:t xml:space="preserve"> по средней фактической стоимости.</w:t>
      </w:r>
    </w:p>
    <w:p w14:paraId="3E909243" w14:textId="77777777" w:rsidR="002F793E" w:rsidRDefault="002F793E" w:rsidP="00EF0C55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</w:p>
    <w:p w14:paraId="15470096" w14:textId="77777777" w:rsidR="00F57AA8" w:rsidRDefault="002F793E" w:rsidP="00EF0C55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14. Бланки строгой отчетности, учитываемые на забалансовом счете 03, </w:t>
      </w:r>
      <w:r w:rsidR="00F57AA8">
        <w:rPr>
          <w:sz w:val="22"/>
          <w:szCs w:val="22"/>
        </w:rPr>
        <w:t>учитываются в условной оценке: один бланк, один рубль.</w:t>
      </w:r>
    </w:p>
    <w:p w14:paraId="4F9172D3" w14:textId="77777777" w:rsidR="00F57AA8" w:rsidRDefault="00F57AA8" w:rsidP="00EF0C55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</w:p>
    <w:p w14:paraId="5B28A088" w14:textId="784A15A7" w:rsidR="00E04380" w:rsidRPr="00E04380" w:rsidRDefault="00F57AA8" w:rsidP="00E04380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15. </w:t>
      </w:r>
      <w:r w:rsidR="00E04380" w:rsidRPr="00E04380">
        <w:rPr>
          <w:sz w:val="22"/>
          <w:szCs w:val="22"/>
        </w:rPr>
        <w:t>Безвозмездно полученные объекты нефинансовых активов, а также неучтенные объекты, выявленные при проведении проверок и инвентаризаций, принимаются к учету по их текущей оценочной стоимости, определенной на дату принятия к бухгалтерскому учету.</w:t>
      </w:r>
      <w:r w:rsidR="00E04380">
        <w:rPr>
          <w:sz w:val="22"/>
          <w:szCs w:val="22"/>
        </w:rPr>
        <w:t xml:space="preserve"> </w:t>
      </w:r>
      <w:r w:rsidR="00E04380" w:rsidRPr="00E04380">
        <w:rPr>
          <w:sz w:val="22"/>
          <w:szCs w:val="22"/>
        </w:rPr>
        <w:t xml:space="preserve">Текущая оценочная стоимость определяется комиссией по поступлению и выбытию </w:t>
      </w:r>
      <w:r w:rsidR="00E04380" w:rsidRPr="00E04380">
        <w:rPr>
          <w:sz w:val="22"/>
          <w:szCs w:val="22"/>
        </w:rPr>
        <w:br/>
        <w:t>активов исходя из текущих рыночных цен на аналогичные материальные ценности.</w:t>
      </w:r>
      <w:r w:rsidR="00E04380" w:rsidRPr="00E04380">
        <w:rPr>
          <w:sz w:val="22"/>
          <w:szCs w:val="22"/>
        </w:rPr>
        <w:t xml:space="preserve"> </w:t>
      </w:r>
      <w:r w:rsidR="00E04380" w:rsidRPr="00E04380">
        <w:rPr>
          <w:sz w:val="22"/>
          <w:szCs w:val="22"/>
        </w:rPr>
        <w:t xml:space="preserve">При возникновении затруднений при определении текущей оценочной стоимости </w:t>
      </w:r>
      <w:r w:rsidR="00E04380" w:rsidRPr="00E04380">
        <w:rPr>
          <w:sz w:val="22"/>
          <w:szCs w:val="22"/>
        </w:rPr>
        <w:br/>
        <w:t xml:space="preserve">комиссией учреждения стоимость определяется специализированной организацией </w:t>
      </w:r>
      <w:r w:rsidR="00E04380" w:rsidRPr="00E04380">
        <w:rPr>
          <w:sz w:val="22"/>
          <w:szCs w:val="22"/>
        </w:rPr>
        <w:br/>
        <w:t>(оценщиком) на основании договора.</w:t>
      </w:r>
    </w:p>
    <w:p w14:paraId="2CEE4492" w14:textId="4BC969B5" w:rsidR="00E04380" w:rsidRDefault="00E04380" w:rsidP="00E04380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</w:p>
    <w:p w14:paraId="2EB036CF" w14:textId="77777777" w:rsidR="007F7C67" w:rsidRPr="007F7C67" w:rsidRDefault="00E04380" w:rsidP="007F7C67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16.</w:t>
      </w:r>
      <w:r w:rsidR="007F7C67">
        <w:rPr>
          <w:sz w:val="22"/>
          <w:szCs w:val="22"/>
        </w:rPr>
        <w:t xml:space="preserve"> </w:t>
      </w:r>
      <w:r w:rsidR="007F7C67" w:rsidRPr="007F7C67">
        <w:rPr>
          <w:sz w:val="22"/>
          <w:szCs w:val="22"/>
        </w:rPr>
        <w:t>Денежные средства от виновных лиц в возмещение ущерба, причиненного нефинансовым активам, отражаются по коду вида деятельности «2» – приносящая доход деятельность (собственные доходы учреждения).</w:t>
      </w:r>
    </w:p>
    <w:p w14:paraId="08E92856" w14:textId="39337F23" w:rsidR="00E04380" w:rsidRPr="007F7C67" w:rsidRDefault="00E04380" w:rsidP="00E04380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  <w:r w:rsidRPr="007F7C67">
        <w:rPr>
          <w:sz w:val="22"/>
          <w:szCs w:val="22"/>
        </w:rPr>
        <w:t xml:space="preserve"> </w:t>
      </w:r>
    </w:p>
    <w:p w14:paraId="7988A6BB" w14:textId="77777777" w:rsidR="00374072" w:rsidRDefault="007F7C67" w:rsidP="00EF0C55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17. </w:t>
      </w:r>
      <w:r w:rsidRPr="007F7C67">
        <w:rPr>
          <w:sz w:val="22"/>
          <w:szCs w:val="22"/>
        </w:rPr>
        <w:t>Денежные средства, полученные от проживающих в учреждении за проживание, считаются доходами текущего месяца независимо от того, за какой период была внесена плата за проживание</w:t>
      </w:r>
      <w:r>
        <w:rPr>
          <w:sz w:val="22"/>
          <w:szCs w:val="22"/>
        </w:rPr>
        <w:t>.</w:t>
      </w:r>
    </w:p>
    <w:p w14:paraId="366E0EA4" w14:textId="77777777" w:rsidR="00374072" w:rsidRDefault="00374072" w:rsidP="00EF0C55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</w:p>
    <w:p w14:paraId="00823874" w14:textId="49582070" w:rsidR="006D66E5" w:rsidRPr="006D66E5" w:rsidRDefault="00374072" w:rsidP="00EF0C55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18. В соответствии с пунктом 7 статьи 8 Федерального закона от 06 декабря 2011 года №402-ФЗ «О бухгалтерском учете» положения учетной политики, принятой приказом от 16 мая 2025 года №11-ОД, распространяются на финансово-хозяйственную деятельность </w:t>
      </w:r>
      <w:r w:rsidR="002E3E9D">
        <w:rPr>
          <w:sz w:val="22"/>
          <w:szCs w:val="22"/>
        </w:rPr>
        <w:t>Учреждения с 01 января 2025 года.</w:t>
      </w:r>
      <w:r w:rsidR="00EF0C55" w:rsidRPr="00E04380">
        <w:rPr>
          <w:sz w:val="22"/>
          <w:szCs w:val="22"/>
        </w:rPr>
        <w:br/>
      </w:r>
    </w:p>
    <w:p w14:paraId="590BD145" w14:textId="77777777" w:rsidR="006D66E5" w:rsidRPr="006D66E5" w:rsidRDefault="006D66E5" w:rsidP="0064289F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</w:p>
    <w:p w14:paraId="47D16C55" w14:textId="77777777" w:rsidR="0064289F" w:rsidRPr="0038012C" w:rsidRDefault="0064289F" w:rsidP="0064289F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</w:pPr>
      <w:r w:rsidRPr="0038012C">
        <w:t> </w:t>
      </w:r>
    </w:p>
    <w:p w14:paraId="4902AABE" w14:textId="4835DBEF" w:rsidR="0064289F" w:rsidRDefault="0064289F" w:rsidP="0064289F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</w:p>
    <w:p w14:paraId="2A5B5B29" w14:textId="77777777" w:rsidR="0064289F" w:rsidRPr="0064289F" w:rsidRDefault="0064289F" w:rsidP="0064289F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 w:val="22"/>
          <w:szCs w:val="22"/>
        </w:rPr>
      </w:pPr>
    </w:p>
    <w:p w14:paraId="010E85CB" w14:textId="33A56031" w:rsidR="004C3670" w:rsidRPr="00E62A86" w:rsidRDefault="006B331A" w:rsidP="009B4C0A">
      <w:pPr>
        <w:rPr>
          <w:rFonts w:ascii="Times New Roman" w:hAnsi="Times New Roman" w:cs="Times New Roman"/>
        </w:rPr>
      </w:pPr>
      <w:r w:rsidRPr="006B331A">
        <w:rPr>
          <w:rFonts w:ascii="Times New Roman" w:hAnsi="Times New Roman" w:cs="Times New Roman"/>
        </w:rPr>
        <w:br/>
      </w:r>
    </w:p>
    <w:p w14:paraId="1E8DFEB4" w14:textId="77777777" w:rsidR="009B4C0A" w:rsidRPr="00E62A86" w:rsidRDefault="009B4C0A" w:rsidP="009B4C0A">
      <w:pPr>
        <w:rPr>
          <w:rFonts w:ascii="Times New Roman" w:hAnsi="Times New Roman" w:cs="Times New Roman"/>
        </w:rPr>
      </w:pPr>
    </w:p>
    <w:sectPr w:rsidR="009B4C0A" w:rsidRPr="00E62A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F06"/>
    <w:rsid w:val="000F561D"/>
    <w:rsid w:val="002E3E9D"/>
    <w:rsid w:val="002F793E"/>
    <w:rsid w:val="00374072"/>
    <w:rsid w:val="004C3670"/>
    <w:rsid w:val="00537797"/>
    <w:rsid w:val="00585144"/>
    <w:rsid w:val="0064289F"/>
    <w:rsid w:val="006B331A"/>
    <w:rsid w:val="006D66E5"/>
    <w:rsid w:val="007F7C67"/>
    <w:rsid w:val="009B4C0A"/>
    <w:rsid w:val="00B73206"/>
    <w:rsid w:val="00D93F06"/>
    <w:rsid w:val="00DE331B"/>
    <w:rsid w:val="00E04380"/>
    <w:rsid w:val="00E10D8C"/>
    <w:rsid w:val="00E62A86"/>
    <w:rsid w:val="00EF0C55"/>
    <w:rsid w:val="00F5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2F2EE"/>
  <w15:chartTrackingRefBased/>
  <w15:docId w15:val="{D223AE29-CC73-436A-8677-10D90D4AC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4C0A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9B4C0A"/>
    <w:rPr>
      <w:rFonts w:ascii="Times New Roman" w:hAnsi="Times New Roman" w:cs="Times New Roman"/>
      <w:sz w:val="24"/>
      <w:szCs w:val="24"/>
    </w:rPr>
  </w:style>
  <w:style w:type="character" w:styleId="a5">
    <w:name w:val="FollowedHyperlink"/>
    <w:uiPriority w:val="99"/>
    <w:semiHidden/>
    <w:unhideWhenUsed/>
    <w:rsid w:val="00EF0C5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nameserver.domen.ru/cons/cgi/online.cgi?req=doc&amp;base=LAW&amp;n=460116&amp;dst=100011&amp;field=134&amp;date=03.04.2025" TargetMode="External"/><Relationship Id="rId18" Type="http://schemas.openxmlformats.org/officeDocument/2006/relationships/hyperlink" Target="http://nameserver.domen.ru/cons/cgi/online.cgi?req=doc&amp;base=LAW&amp;n=460116&amp;dst=100011&amp;field=134&amp;date=03.04.2025" TargetMode="External"/><Relationship Id="rId26" Type="http://schemas.openxmlformats.org/officeDocument/2006/relationships/hyperlink" Target="http://nameserver.domen.ru/cons/cgi/online.cgi?req=doc&amp;base=LAW&amp;n=460116&amp;dst=100011&amp;field=134&amp;date=03.04.202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nameserver.domen.ru/cons/cgi/online.cgi?req=doc&amp;base=LAW&amp;n=460116&amp;dst=100011&amp;field=134&amp;date=03.04.2025" TargetMode="External"/><Relationship Id="rId34" Type="http://schemas.openxmlformats.org/officeDocument/2006/relationships/hyperlink" Target="http://nameserver.domen.ru/cons/cgi/online.cgi?req=doc&amp;base=LAW&amp;n=458061&amp;dst=100011&amp;field=134&amp;date=03.04.2025" TargetMode="External"/><Relationship Id="rId7" Type="http://schemas.openxmlformats.org/officeDocument/2006/relationships/hyperlink" Target="http://nameserver.domen.ru/cons/cgi/online.cgi?req=doc&amp;base=LAW&amp;n=460116&amp;dst=100011&amp;field=134&amp;date=03.04.2025" TargetMode="External"/><Relationship Id="rId12" Type="http://schemas.openxmlformats.org/officeDocument/2006/relationships/hyperlink" Target="http://nameserver.domen.ru/cons/cgi/online.cgi?req=doc&amp;base=LAW&amp;n=460116&amp;dst=100011&amp;field=134&amp;date=03.04.2025" TargetMode="External"/><Relationship Id="rId17" Type="http://schemas.openxmlformats.org/officeDocument/2006/relationships/hyperlink" Target="http://nameserver.domen.ru/cons/cgi/online.cgi?req=doc&amp;base=LAW&amp;n=460116&amp;dst=100011&amp;field=134&amp;date=03.04.2025" TargetMode="External"/><Relationship Id="rId25" Type="http://schemas.openxmlformats.org/officeDocument/2006/relationships/hyperlink" Target="http://nameserver.domen.ru/cons/cgi/online.cgi?req=doc&amp;base=LAW&amp;n=460116&amp;dst=100011&amp;field=134&amp;date=03.04.2025" TargetMode="External"/><Relationship Id="rId33" Type="http://schemas.openxmlformats.org/officeDocument/2006/relationships/hyperlink" Target="http://nameserver.domen.ru/cons/cgi/online.cgi?req=doc&amp;base=LAW&amp;n=479120&amp;dst=100025&amp;field=134&amp;date=03.04.2025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nameserver.domen.ru/cons/cgi/online.cgi?req=doc&amp;base=LAW&amp;n=460116&amp;dst=100011&amp;field=134&amp;date=03.04.2025" TargetMode="External"/><Relationship Id="rId20" Type="http://schemas.openxmlformats.org/officeDocument/2006/relationships/hyperlink" Target="http://nameserver.domen.ru/cons/cgi/online.cgi?req=doc&amp;base=LAW&amp;n=460116&amp;dst=100011&amp;field=134&amp;date=03.04.2025" TargetMode="External"/><Relationship Id="rId29" Type="http://schemas.openxmlformats.org/officeDocument/2006/relationships/hyperlink" Target="http://nameserver.domen.ru/cons/cgi/online.cgi?req=doc&amp;base=LAW&amp;n=473304&amp;date=03.04.2025" TargetMode="External"/><Relationship Id="rId1" Type="http://schemas.openxmlformats.org/officeDocument/2006/relationships/styles" Target="styles.xml"/><Relationship Id="rId6" Type="http://schemas.openxmlformats.org/officeDocument/2006/relationships/hyperlink" Target="http://nameserver.domen.ru/cons/cgi/online.cgi?req=doc&amp;base=LAW&amp;n=460116&amp;dst=100011&amp;field=134&amp;date=03.04.2025" TargetMode="External"/><Relationship Id="rId11" Type="http://schemas.openxmlformats.org/officeDocument/2006/relationships/hyperlink" Target="http://nameserver.domen.ru/cons/cgi/online.cgi?req=doc&amp;base=LAW&amp;n=460116&amp;dst=100011&amp;field=134&amp;date=03.04.2025" TargetMode="External"/><Relationship Id="rId24" Type="http://schemas.openxmlformats.org/officeDocument/2006/relationships/hyperlink" Target="http://nameserver.domen.ru/cons/cgi/online.cgi?req=doc&amp;base=LAW&amp;n=460116&amp;dst=100011&amp;field=134&amp;date=03.04.2025" TargetMode="External"/><Relationship Id="rId32" Type="http://schemas.openxmlformats.org/officeDocument/2006/relationships/hyperlink" Target="http://nameserver.domen.ru/cons/cgi/online.cgi?req=doc&amp;base=LAW&amp;n=490386&amp;dst=100012&amp;field=134&amp;date=03.04.2025" TargetMode="External"/><Relationship Id="rId5" Type="http://schemas.openxmlformats.org/officeDocument/2006/relationships/hyperlink" Target="http://nameserver.domen.ru/cons/cgi/online.cgi?req=doc&amp;base=LAW&amp;n=464181&amp;date=03.04.2025" TargetMode="External"/><Relationship Id="rId15" Type="http://schemas.openxmlformats.org/officeDocument/2006/relationships/hyperlink" Target="http://nameserver.domen.ru/cons/cgi/online.cgi?req=doc&amp;base=LAW&amp;n=460116&amp;dst=100011&amp;field=134&amp;date=03.04.2025" TargetMode="External"/><Relationship Id="rId23" Type="http://schemas.openxmlformats.org/officeDocument/2006/relationships/hyperlink" Target="http://nameserver.domen.ru/cons/cgi/online.cgi?req=doc&amp;base=LAW&amp;n=460116&amp;dst=100011&amp;field=134&amp;date=03.04.2025" TargetMode="External"/><Relationship Id="rId28" Type="http://schemas.openxmlformats.org/officeDocument/2006/relationships/hyperlink" Target="http://nameserver.domen.ru/cons/cgi/online.cgi?req=doc&amp;base=LAW&amp;n=465243&amp;dst=101761&amp;field=134&amp;date=03.04.2025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nameserver.domen.ru/cons/cgi/online.cgi?req=doc&amp;base=LAW&amp;n=460116&amp;dst=100011&amp;field=134&amp;date=03.04.2025" TargetMode="External"/><Relationship Id="rId19" Type="http://schemas.openxmlformats.org/officeDocument/2006/relationships/hyperlink" Target="http://nameserver.domen.ru/cons/cgi/online.cgi?req=doc&amp;base=LAW&amp;n=460116&amp;dst=100011&amp;field=134&amp;date=03.04.2025" TargetMode="External"/><Relationship Id="rId31" Type="http://schemas.openxmlformats.org/officeDocument/2006/relationships/hyperlink" Target="http://nameserver.domen.ru/cons/cgi/online.cgi?req=doc&amp;base=LAW&amp;n=419184&amp;dst=100008&amp;field=134&amp;date=03.04.2025" TargetMode="External"/><Relationship Id="rId4" Type="http://schemas.openxmlformats.org/officeDocument/2006/relationships/hyperlink" Target="http://nameserver.domen.ru/cons/cgi/online.cgi?req=doc&amp;base=LAW&amp;n=464181&amp;date=03.04.2025" TargetMode="External"/><Relationship Id="rId9" Type="http://schemas.openxmlformats.org/officeDocument/2006/relationships/hyperlink" Target="http://nameserver.domen.ru/cons/cgi/online.cgi?req=doc&amp;base=LAW&amp;n=460116&amp;dst=100011&amp;field=134&amp;date=03.04.2025" TargetMode="External"/><Relationship Id="rId14" Type="http://schemas.openxmlformats.org/officeDocument/2006/relationships/hyperlink" Target="http://nameserver.domen.ru/cons/cgi/online.cgi?req=doc&amp;base=LAW&amp;n=460116&amp;dst=100011&amp;field=134&amp;date=03.04.2025" TargetMode="External"/><Relationship Id="rId22" Type="http://schemas.openxmlformats.org/officeDocument/2006/relationships/hyperlink" Target="http://nameserver.domen.ru/cons/cgi/online.cgi?req=doc&amp;base=LAW&amp;n=460116&amp;dst=100011&amp;field=134&amp;date=03.04.2025" TargetMode="External"/><Relationship Id="rId27" Type="http://schemas.openxmlformats.org/officeDocument/2006/relationships/hyperlink" Target="http://nameserver.domen.ru/cons/cgi/online.cgi?req=doc&amp;base=LAW&amp;n=465243&amp;date=03.04.2025" TargetMode="External"/><Relationship Id="rId30" Type="http://schemas.openxmlformats.org/officeDocument/2006/relationships/hyperlink" Target="http://nameserver.domen.ru/cons/cgi/online.cgi?req=doc&amp;base=LAW&amp;n=484093&amp;date=03.04.2025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://nameserver.domen.ru/cons/cgi/online.cgi?req=doc&amp;base=LAW&amp;n=460116&amp;dst=100011&amp;field=134&amp;date=03.04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2312</Words>
  <Characters>13182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dcterms:created xsi:type="dcterms:W3CDTF">2025-06-04T21:20:00Z</dcterms:created>
  <dcterms:modified xsi:type="dcterms:W3CDTF">2025-06-05T07:22:00Z</dcterms:modified>
</cp:coreProperties>
</file>